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43188" w14:textId="5FC24A91" w:rsidR="00811EEE" w:rsidRPr="00FE72F2" w:rsidRDefault="00811EEE" w:rsidP="00811EEE">
      <w:pPr>
        <w:pStyle w:val="a5"/>
        <w:tabs>
          <w:tab w:val="left" w:pos="8280"/>
        </w:tabs>
        <w:spacing w:line="280" w:lineRule="exact"/>
        <w:jc w:val="both"/>
        <w:rPr>
          <w:rFonts w:ascii="Calibri" w:eastAsia="新細明體" w:hAnsi="Calibri" w:cs="Arial"/>
          <w:noProof w:val="0"/>
          <w:sz w:val="24"/>
          <w:szCs w:val="24"/>
          <w:lang w:eastAsia="ja-JP"/>
        </w:rPr>
      </w:pPr>
      <w:r w:rsidRPr="00FE72F2">
        <w:rPr>
          <w:rFonts w:ascii="Calibri" w:eastAsia="新細明體" w:hAnsi="Calibri" w:cs="Arial"/>
          <w:noProof w:val="0"/>
          <w:sz w:val="24"/>
          <w:szCs w:val="24"/>
          <w:lang w:eastAsia="ja-JP"/>
        </w:rPr>
        <w:t xml:space="preserve">3GPP TSG-RAN WG4 Meeting #88bis                       </w:t>
      </w:r>
      <w:r w:rsidRPr="00FE72F2">
        <w:rPr>
          <w:rFonts w:ascii="Calibri" w:eastAsia="新細明體" w:hAnsi="Calibri" w:cs="Arial"/>
          <w:noProof w:val="0"/>
          <w:sz w:val="24"/>
          <w:szCs w:val="24"/>
          <w:lang w:eastAsia="ja-JP"/>
        </w:rPr>
        <w:tab/>
        <w:t xml:space="preserve"> R4-181</w:t>
      </w:r>
      <w:r w:rsidR="001C7CC5">
        <w:rPr>
          <w:rFonts w:ascii="Calibri" w:eastAsia="新細明體" w:hAnsi="Calibri" w:cs="Arial"/>
          <w:noProof w:val="0"/>
          <w:sz w:val="24"/>
          <w:szCs w:val="24"/>
          <w:lang w:eastAsia="ja-JP"/>
        </w:rPr>
        <w:t>3160</w:t>
      </w:r>
      <w:bookmarkStart w:id="0" w:name="_GoBack"/>
      <w:bookmarkEnd w:id="0"/>
    </w:p>
    <w:p w14:paraId="2D8D0613" w14:textId="77777777" w:rsidR="00811EEE" w:rsidRPr="00FE72F2" w:rsidRDefault="00811EEE" w:rsidP="00811EEE">
      <w:pPr>
        <w:tabs>
          <w:tab w:val="left" w:pos="1985"/>
        </w:tabs>
        <w:jc w:val="both"/>
        <w:rPr>
          <w:rFonts w:ascii="Calibri" w:eastAsia="新細明體" w:hAnsi="Calibri" w:cs="Arial"/>
          <w:b/>
          <w:sz w:val="24"/>
          <w:szCs w:val="24"/>
          <w:lang w:eastAsia="ja-JP"/>
        </w:rPr>
      </w:pPr>
      <w:r w:rsidRPr="00FE72F2">
        <w:rPr>
          <w:rFonts w:ascii="Calibri" w:hAnsi="Calibri" w:cs="Arial"/>
          <w:b/>
          <w:sz w:val="24"/>
          <w:lang w:eastAsia="ja-JP"/>
        </w:rPr>
        <w:t>Chengdu, China, Oct. 8</w:t>
      </w:r>
      <w:r w:rsidRPr="00FE72F2">
        <w:rPr>
          <w:rFonts w:ascii="Calibri" w:hAnsi="Calibri" w:cs="Arial"/>
          <w:b/>
          <w:sz w:val="24"/>
          <w:vertAlign w:val="superscript"/>
          <w:lang w:eastAsia="ja-JP"/>
        </w:rPr>
        <w:t>th</w:t>
      </w:r>
      <w:r w:rsidRPr="00FE72F2">
        <w:rPr>
          <w:rFonts w:ascii="Calibri" w:hAnsi="Calibri" w:cs="Arial"/>
          <w:b/>
          <w:sz w:val="24"/>
          <w:lang w:eastAsia="ja-JP"/>
        </w:rPr>
        <w:t xml:space="preserve"> – 12</w:t>
      </w:r>
      <w:r w:rsidRPr="00FE72F2">
        <w:rPr>
          <w:rFonts w:ascii="Calibri" w:hAnsi="Calibri" w:cs="Arial"/>
          <w:b/>
          <w:sz w:val="24"/>
          <w:vertAlign w:val="superscript"/>
          <w:lang w:eastAsia="ja-JP"/>
        </w:rPr>
        <w:t>th</w:t>
      </w:r>
      <w:r w:rsidRPr="00FE72F2">
        <w:rPr>
          <w:rFonts w:cs="Arial"/>
          <w:b/>
          <w:lang w:eastAsia="ja-JP"/>
        </w:rPr>
        <w:t>,</w:t>
      </w:r>
      <w:r w:rsidRPr="00FE72F2">
        <w:rPr>
          <w:rFonts w:ascii="Calibri" w:eastAsia="新細明體" w:hAnsi="Calibri" w:cs="Arial"/>
          <w:b/>
          <w:sz w:val="24"/>
          <w:szCs w:val="24"/>
          <w:lang w:eastAsia="ja-JP"/>
        </w:rPr>
        <w:t xml:space="preserve"> 2018                                                          </w:t>
      </w:r>
    </w:p>
    <w:p w14:paraId="162ECE50" w14:textId="77777777" w:rsidR="00811EEE" w:rsidRPr="00FE72F2" w:rsidRDefault="00811EEE" w:rsidP="00811EEE">
      <w:pPr>
        <w:pStyle w:val="a5"/>
        <w:rPr>
          <w:rFonts w:ascii="Calibri" w:eastAsia="新細明體" w:hAnsi="Calibri"/>
          <w:sz w:val="24"/>
          <w:lang w:eastAsia="zh-TW"/>
        </w:rPr>
      </w:pPr>
    </w:p>
    <w:p w14:paraId="1CAD8A83" w14:textId="2990E259" w:rsidR="00811EEE" w:rsidRPr="00F52EE4" w:rsidRDefault="00811EEE" w:rsidP="00811EEE">
      <w:pPr>
        <w:ind w:left="1985" w:hanging="1985"/>
        <w:rPr>
          <w:rFonts w:cs="Arial"/>
          <w:b/>
          <w:bCs/>
        </w:rPr>
      </w:pPr>
      <w:r w:rsidRPr="00FE72F2">
        <w:rPr>
          <w:rFonts w:cs="Arial"/>
          <w:b/>
          <w:bCs/>
        </w:rPr>
        <w:t>Agenda Item:</w:t>
      </w:r>
      <w:r w:rsidRPr="00FE72F2">
        <w:rPr>
          <w:rFonts w:cs="Arial"/>
          <w:b/>
          <w:bCs/>
        </w:rPr>
        <w:tab/>
        <w:t>7.11.</w:t>
      </w:r>
      <w:r w:rsidR="00FE72F2" w:rsidRPr="00FE72F2">
        <w:rPr>
          <w:rFonts w:cs="Arial"/>
          <w:b/>
          <w:bCs/>
        </w:rPr>
        <w:t>3.1.1</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6C7F0E2C" w:rsidR="00174EC2" w:rsidRDefault="0034111C" w:rsidP="007A4FCF">
      <w:pPr>
        <w:ind w:left="1985" w:hanging="1985"/>
        <w:rPr>
          <w:rFonts w:cs="Arial"/>
          <w:b/>
          <w:bCs/>
        </w:rPr>
      </w:pPr>
      <w:r w:rsidRPr="000C45FD">
        <w:rPr>
          <w:rFonts w:cs="Arial"/>
          <w:b/>
          <w:bCs/>
        </w:rPr>
        <w:t>Title:</w:t>
      </w:r>
      <w:r w:rsidRPr="000C45FD">
        <w:rPr>
          <w:rFonts w:cs="Arial"/>
          <w:b/>
          <w:bCs/>
        </w:rPr>
        <w:tab/>
      </w:r>
      <w:r w:rsidR="001C6DCB" w:rsidRPr="001C6DCB">
        <w:rPr>
          <w:rFonts w:cs="Arial"/>
          <w:b/>
          <w:bCs/>
        </w:rPr>
        <w:t xml:space="preserve">Discussion on </w:t>
      </w:r>
      <w:r w:rsidR="00BC19C0">
        <w:rPr>
          <w:rFonts w:cs="Arial"/>
          <w:b/>
          <w:bCs/>
        </w:rPr>
        <w:t>G</w:t>
      </w:r>
      <w:r w:rsidR="001C6DCB" w:rsidRPr="001C6DCB">
        <w:rPr>
          <w:rFonts w:cs="Arial"/>
          <w:b/>
          <w:bCs/>
        </w:rPr>
        <w:t xml:space="preserve">ap </w:t>
      </w:r>
      <w:r w:rsidR="00BC19C0">
        <w:rPr>
          <w:rFonts w:cs="Arial"/>
          <w:b/>
          <w:bCs/>
        </w:rPr>
        <w:t>S</w:t>
      </w:r>
      <w:r w:rsidR="001C6DCB" w:rsidRPr="001C6DCB">
        <w:rPr>
          <w:rFonts w:cs="Arial"/>
          <w:b/>
          <w:bCs/>
        </w:rPr>
        <w:t xml:space="preserve">tarting </w:t>
      </w:r>
      <w:r w:rsidR="00BC19C0">
        <w:rPr>
          <w:rFonts w:cs="Arial"/>
          <w:b/>
          <w:bCs/>
        </w:rPr>
        <w:t>P</w:t>
      </w:r>
      <w:r w:rsidR="001C6DCB" w:rsidRPr="001C6DCB">
        <w:rPr>
          <w:rFonts w:cs="Arial"/>
          <w:b/>
          <w:bCs/>
        </w:rPr>
        <w:t>oint</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77777777"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1917A111" w14:textId="3A92C149" w:rsidR="0091441D" w:rsidRDefault="00D37828" w:rsidP="006A10B9">
      <w:pPr>
        <w:jc w:val="both"/>
      </w:pPr>
      <w:r w:rsidRPr="0020001D">
        <w:t xml:space="preserve">In the </w:t>
      </w:r>
      <w:r w:rsidR="007B0776" w:rsidRPr="0020001D">
        <w:t>RAN</w:t>
      </w:r>
      <w:r w:rsidR="00F13D37">
        <w:t xml:space="preserve">4 </w:t>
      </w:r>
      <w:r w:rsidR="007B0776">
        <w:t>#</w:t>
      </w:r>
      <w:r w:rsidR="00811EEE">
        <w:t xml:space="preserve">88 </w:t>
      </w:r>
      <w:r>
        <w:t xml:space="preserve">meeting, </w:t>
      </w:r>
      <w:r w:rsidR="00F13D37">
        <w:t>a way forward</w:t>
      </w:r>
      <w:r w:rsidRPr="00D37828">
        <w:rPr>
          <w:rFonts w:eastAsia="SimSun" w:hint="eastAsia"/>
        </w:rPr>
        <w:t xml:space="preserve"> </w:t>
      </w:r>
      <w:r w:rsidR="00F13D37">
        <w:rPr>
          <w:rFonts w:eastAsia="SimSun"/>
        </w:rPr>
        <w:t xml:space="preserve">about </w:t>
      </w:r>
      <w:r w:rsidR="001C6DCB">
        <w:rPr>
          <w:rFonts w:eastAsia="SimSun"/>
        </w:rPr>
        <w:t>UE behavio</w:t>
      </w:r>
      <w:r w:rsidR="00811EEE" w:rsidRPr="00811EEE">
        <w:rPr>
          <w:rFonts w:eastAsia="SimSun"/>
        </w:rPr>
        <w:t>r before or after measurement gap</w:t>
      </w:r>
      <w:r w:rsidRPr="00D37828">
        <w:rPr>
          <w:rFonts w:eastAsia="SimSun" w:hint="eastAsia"/>
        </w:rPr>
        <w:t xml:space="preserve"> </w:t>
      </w:r>
      <w:r w:rsidR="00EA51D3">
        <w:rPr>
          <w:rFonts w:eastAsia="SimSun"/>
        </w:rPr>
        <w:t xml:space="preserve">is agreed </w:t>
      </w:r>
      <w:r w:rsidR="00EA51D3">
        <w:rPr>
          <w:rFonts w:eastAsia="SimSun"/>
        </w:rPr>
        <w:fldChar w:fldCharType="begin"/>
      </w:r>
      <w:r w:rsidR="00EA51D3">
        <w:rPr>
          <w:rFonts w:eastAsia="SimSun"/>
        </w:rPr>
        <w:instrText xml:space="preserve"> REF _Ref510193169 \n \h </w:instrText>
      </w:r>
      <w:r w:rsidR="00EA51D3">
        <w:rPr>
          <w:rFonts w:eastAsia="SimSun"/>
        </w:rPr>
      </w:r>
      <w:r w:rsidR="00EA51D3">
        <w:rPr>
          <w:rFonts w:eastAsia="SimSun"/>
        </w:rPr>
        <w:fldChar w:fldCharType="separate"/>
      </w:r>
      <w:r w:rsidR="006534F9">
        <w:rPr>
          <w:rFonts w:eastAsia="SimSun"/>
        </w:rPr>
        <w:t>[1]</w:t>
      </w:r>
      <w:r w:rsidR="00EA51D3">
        <w:rPr>
          <w:rFonts w:eastAsia="SimSun"/>
        </w:rPr>
        <w:fldChar w:fldCharType="end"/>
      </w:r>
      <w:r w:rsidR="00EA51D3">
        <w:rPr>
          <w:rFonts w:eastAsia="SimSun"/>
        </w:rPr>
        <w:t>.</w:t>
      </w:r>
      <w:r w:rsidRPr="00D37828">
        <w:rPr>
          <w:rFonts w:eastAsia="SimSun" w:hint="eastAsia"/>
        </w:rPr>
        <w:t xml:space="preserve"> </w:t>
      </w:r>
      <w:r w:rsidR="001C6DCB">
        <w:t xml:space="preserve">Also a CR </w:t>
      </w:r>
      <w:r w:rsidR="00713BC9">
        <w:fldChar w:fldCharType="begin"/>
      </w:r>
      <w:r w:rsidR="00713BC9">
        <w:instrText xml:space="preserve"> REF _Ref525819386 \r \h </w:instrText>
      </w:r>
      <w:r w:rsidR="00713BC9">
        <w:fldChar w:fldCharType="separate"/>
      </w:r>
      <w:r w:rsidR="00713BC9">
        <w:t>[2]</w:t>
      </w:r>
      <w:r w:rsidR="00713BC9">
        <w:fldChar w:fldCharType="end"/>
      </w:r>
      <w:r w:rsidR="00713BC9">
        <w:t xml:space="preserve"> </w:t>
      </w:r>
      <w:r w:rsidR="001C6DCB">
        <w:t xml:space="preserve">was </w:t>
      </w:r>
      <w:r w:rsidR="00713BC9">
        <w:t xml:space="preserve">also </w:t>
      </w:r>
      <w:r w:rsidR="001C6DCB">
        <w:t>agreed</w:t>
      </w:r>
      <w:r w:rsidR="00713BC9">
        <w:t xml:space="preserve"> on the gap starting point for per-UE gap and FR1-gap when MGTA is not indicated, while other cases remain open. </w:t>
      </w:r>
      <w:r w:rsidR="00CD356A">
        <w:t xml:space="preserve">In this paper, we discuss the </w:t>
      </w:r>
      <w:r w:rsidR="00713BC9">
        <w:rPr>
          <w:noProof/>
        </w:rPr>
        <w:t xml:space="preserve">remaining issue of gap starting point </w:t>
      </w:r>
      <w:r w:rsidR="00950D36">
        <w:rPr>
          <w:noProof/>
        </w:rPr>
        <w:t>as well as</w:t>
      </w:r>
      <w:r w:rsidR="00713BC9">
        <w:rPr>
          <w:noProof/>
        </w:rPr>
        <w:t xml:space="preserve"> UE behavior before and after gap</w:t>
      </w:r>
      <w:r w:rsidR="00CD356A">
        <w:t>.</w:t>
      </w:r>
    </w:p>
    <w:p w14:paraId="3A8ACA84" w14:textId="4D36E201" w:rsidR="0091441D" w:rsidRDefault="0091441D" w:rsidP="0091441D">
      <w:pPr>
        <w:pStyle w:val="1"/>
        <w:numPr>
          <w:ilvl w:val="0"/>
          <w:numId w:val="2"/>
        </w:numPr>
        <w:rPr>
          <w:rFonts w:ascii="Calibri" w:hAnsi="Calibri"/>
        </w:rPr>
      </w:pPr>
      <w:r w:rsidRPr="0091441D">
        <w:rPr>
          <w:rFonts w:ascii="Calibri" w:hAnsi="Calibri"/>
        </w:rPr>
        <w:t>Discussion</w:t>
      </w:r>
    </w:p>
    <w:p w14:paraId="6073CBB7" w14:textId="258D3826" w:rsidR="00950D36" w:rsidRDefault="00950D36" w:rsidP="00950D36">
      <w:pPr>
        <w:rPr>
          <w:b/>
          <w:u w:val="single"/>
          <w:lang w:val="en-GB" w:eastAsia="en-US"/>
        </w:rPr>
      </w:pPr>
      <w:r w:rsidRPr="00950D36">
        <w:rPr>
          <w:b/>
          <w:u w:val="single"/>
          <w:lang w:val="en-GB" w:eastAsia="en-US"/>
        </w:rPr>
        <w:t>MGTA</w:t>
      </w:r>
    </w:p>
    <w:p w14:paraId="35AFBE08" w14:textId="29643EF4" w:rsidR="00950D36" w:rsidRDefault="00950D36" w:rsidP="00950D36">
      <w:pPr>
        <w:jc w:val="both"/>
        <w:rPr>
          <w:lang w:val="en-GB" w:eastAsia="en-US"/>
        </w:rPr>
      </w:pPr>
      <w:r w:rsidRPr="00950D36">
        <w:rPr>
          <w:lang w:val="en-GB" w:eastAsia="en-US"/>
        </w:rPr>
        <w:t>MGTA</w:t>
      </w:r>
      <w:r>
        <w:rPr>
          <w:lang w:val="en-GB" w:eastAsia="en-US"/>
        </w:rPr>
        <w:t xml:space="preserve"> was introduced in order to avoid UE’s RF-tuning time overlapping with some of the SSB symbols during SMTC duration in synchronous network. With MGTA, UE will start RF re-tuning 0.5ms or 0.25ms earlier. Special handling is needed for 0.5ms in 15KHz SCS for NR (and LTE), because it will introduce one additional interrupted slot (or subframe in LTE). This issue has already been discussed and concluded in the requirement of gap interruption in Section 9.1.2in TS38.133. </w:t>
      </w:r>
    </w:p>
    <w:p w14:paraId="05CFDF66" w14:textId="5BA75003" w:rsidR="00950D36" w:rsidRDefault="006A10B9" w:rsidP="00950D36">
      <w:pPr>
        <w:jc w:val="both"/>
        <w:rPr>
          <w:lang w:val="en-GB" w:eastAsia="en-US"/>
        </w:rPr>
      </w:pPr>
      <w:r>
        <w:rPr>
          <w:lang w:val="en-GB" w:eastAsia="en-US"/>
        </w:rPr>
        <w:t xml:space="preserve">One issue related to gap starting point is whether the starting point is based on the start of the interruption or the start of UE RF re-tuning, as illustrated in </w:t>
      </w:r>
      <w:r w:rsidR="00020881">
        <w:rPr>
          <w:lang w:val="en-GB" w:eastAsia="en-US"/>
        </w:rPr>
        <w:fldChar w:fldCharType="begin"/>
      </w:r>
      <w:r w:rsidR="00020881">
        <w:rPr>
          <w:lang w:val="en-GB" w:eastAsia="en-US"/>
        </w:rPr>
        <w:instrText xml:space="preserve"> REF _Ref525840763 \h </w:instrText>
      </w:r>
      <w:r w:rsidR="00020881">
        <w:rPr>
          <w:lang w:val="en-GB" w:eastAsia="en-US"/>
        </w:rPr>
      </w:r>
      <w:r w:rsidR="00020881">
        <w:rPr>
          <w:lang w:val="en-GB" w:eastAsia="en-US"/>
        </w:rPr>
        <w:fldChar w:fldCharType="separate"/>
      </w:r>
      <w:r w:rsidR="00020881">
        <w:t xml:space="preserve">Figure </w:t>
      </w:r>
      <w:r w:rsidR="00020881">
        <w:rPr>
          <w:noProof/>
        </w:rPr>
        <w:t>1</w:t>
      </w:r>
      <w:r w:rsidR="00020881">
        <w:rPr>
          <w:lang w:val="en-GB" w:eastAsia="en-US"/>
        </w:rPr>
        <w:fldChar w:fldCharType="end"/>
      </w:r>
      <w:r w:rsidR="00020881">
        <w:rPr>
          <w:lang w:val="en-GB" w:eastAsia="en-US"/>
        </w:rPr>
        <w:t xml:space="preserve">. In our understanding, to align gap starting point with the starting point of RF re-tuning would be a relative clean solution, because </w:t>
      </w:r>
    </w:p>
    <w:p w14:paraId="033321E0" w14:textId="7AF7EA95" w:rsidR="00020881" w:rsidRDefault="00020881" w:rsidP="00020881">
      <w:pPr>
        <w:pStyle w:val="af5"/>
        <w:numPr>
          <w:ilvl w:val="0"/>
          <w:numId w:val="19"/>
        </w:numPr>
        <w:jc w:val="both"/>
        <w:rPr>
          <w:lang w:val="en-GB"/>
        </w:rPr>
      </w:pPr>
      <w:r>
        <w:rPr>
          <w:lang w:val="en-GB"/>
        </w:rPr>
        <w:t>Gap starting time can be the same for carriers with different SCS.</w:t>
      </w:r>
    </w:p>
    <w:p w14:paraId="5CC13415" w14:textId="06AF4CDB" w:rsidR="00020881" w:rsidRDefault="00020881" w:rsidP="00020881">
      <w:pPr>
        <w:pStyle w:val="af5"/>
        <w:numPr>
          <w:ilvl w:val="0"/>
          <w:numId w:val="19"/>
        </w:numPr>
        <w:jc w:val="both"/>
        <w:rPr>
          <w:lang w:val="en-GB"/>
        </w:rPr>
      </w:pPr>
      <w:r>
        <w:rPr>
          <w:lang w:val="en-GB"/>
        </w:rPr>
        <w:t>The interruption starting point is not the time UE really re-tunes it RF, but was introduced because UE cannot receive (or transmit) the all signals in the whole DL (or UL) slot. The additional interruption slot has already been handled in a separated requirement.</w:t>
      </w:r>
    </w:p>
    <w:p w14:paraId="4460FEB4" w14:textId="77777777" w:rsidR="00CA6BBA" w:rsidRDefault="00CA6BBA" w:rsidP="00CA6BBA">
      <w:pPr>
        <w:rPr>
          <w:lang w:eastAsia="x-none"/>
        </w:rPr>
      </w:pPr>
    </w:p>
    <w:p w14:paraId="581815A2" w14:textId="77777777" w:rsidR="00CA6BBA" w:rsidRPr="00CA6BBA" w:rsidRDefault="00CA6BBA" w:rsidP="00CA6BBA">
      <w:pPr>
        <w:rPr>
          <w:lang w:eastAsia="x-none"/>
        </w:rPr>
      </w:pPr>
    </w:p>
    <w:p w14:paraId="2B0DDB26" w14:textId="220A3181" w:rsidR="006A10B9" w:rsidRDefault="006A10B9" w:rsidP="006A10B9">
      <w:pPr>
        <w:jc w:val="center"/>
        <w:rPr>
          <w:lang w:val="en-GB" w:eastAsia="en-US"/>
        </w:rPr>
      </w:pPr>
      <w:r>
        <w:lastRenderedPageBreak/>
        <w:t xml:space="preserve"> </w:t>
      </w:r>
      <w:r w:rsidR="00020881" w:rsidRPr="00020881">
        <w:rPr>
          <w:noProof/>
        </w:rPr>
        <w:drawing>
          <wp:inline distT="0" distB="0" distL="0" distR="0" wp14:anchorId="68192E4F" wp14:editId="03526F27">
            <wp:extent cx="6120765" cy="2882525"/>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2882525"/>
                    </a:xfrm>
                    <a:prstGeom prst="rect">
                      <a:avLst/>
                    </a:prstGeom>
                    <a:noFill/>
                    <a:ln>
                      <a:noFill/>
                    </a:ln>
                  </pic:spPr>
                </pic:pic>
              </a:graphicData>
            </a:graphic>
          </wp:inline>
        </w:drawing>
      </w:r>
    </w:p>
    <w:p w14:paraId="46269354" w14:textId="1006FB75" w:rsidR="006A10B9" w:rsidRPr="006A10B9" w:rsidRDefault="006A10B9" w:rsidP="006A10B9">
      <w:pPr>
        <w:pStyle w:val="af1"/>
        <w:jc w:val="center"/>
        <w:rPr>
          <w:lang w:val="en-US" w:eastAsia="en-US"/>
        </w:rPr>
      </w:pPr>
      <w:bookmarkStart w:id="1" w:name="_Ref525840763"/>
      <w:r>
        <w:t xml:space="preserve">Figure </w:t>
      </w:r>
      <w:r w:rsidR="00D13A66">
        <w:fldChar w:fldCharType="begin"/>
      </w:r>
      <w:r w:rsidR="00D13A66">
        <w:instrText xml:space="preserve"> SEQ Figure \* ARABIC </w:instrText>
      </w:r>
      <w:r w:rsidR="00D13A66">
        <w:fldChar w:fldCharType="separate"/>
      </w:r>
      <w:r w:rsidR="00325C58">
        <w:rPr>
          <w:noProof/>
        </w:rPr>
        <w:t>1</w:t>
      </w:r>
      <w:r w:rsidR="00D13A66">
        <w:rPr>
          <w:noProof/>
        </w:rPr>
        <w:fldChar w:fldCharType="end"/>
      </w:r>
      <w:bookmarkEnd w:id="1"/>
      <w:r>
        <w:rPr>
          <w:lang w:val="en-US"/>
        </w:rPr>
        <w:t xml:space="preserve">. </w:t>
      </w:r>
      <w:r w:rsidR="00020881">
        <w:rPr>
          <w:lang w:val="en-US"/>
        </w:rPr>
        <w:t>C</w:t>
      </w:r>
      <w:r>
        <w:rPr>
          <w:lang w:val="en-US"/>
        </w:rPr>
        <w:t xml:space="preserve">omparison between starting </w:t>
      </w:r>
      <w:r w:rsidR="00020881">
        <w:rPr>
          <w:lang w:val="en-US"/>
        </w:rPr>
        <w:t>point</w:t>
      </w:r>
      <w:r>
        <w:rPr>
          <w:lang w:val="en-US"/>
        </w:rPr>
        <w:t xml:space="preserve"> of gap interruption for 15KHz SCS and starting </w:t>
      </w:r>
      <w:r w:rsidR="00020881">
        <w:rPr>
          <w:lang w:val="en-US"/>
        </w:rPr>
        <w:t>point</w:t>
      </w:r>
      <w:r>
        <w:rPr>
          <w:lang w:val="en-US"/>
        </w:rPr>
        <w:t xml:space="preserve"> of RF re-tuning</w:t>
      </w:r>
    </w:p>
    <w:p w14:paraId="4CDF4327" w14:textId="77777777" w:rsidR="00CA6BBA" w:rsidRDefault="00CA6BBA" w:rsidP="00CA6BBA">
      <w:pPr>
        <w:jc w:val="both"/>
        <w:rPr>
          <w:lang w:val="en-GB"/>
        </w:rPr>
      </w:pPr>
      <w:r>
        <w:rPr>
          <w:lang w:val="en-GB"/>
        </w:rPr>
        <w:t>If aligning with the starting time of RF re-tuning, then the gap starting time for 15KHz will be at the centre of a slot, but not at the slot boundary. But we do not see a critical issue in this case.</w:t>
      </w:r>
    </w:p>
    <w:p w14:paraId="2C20191E" w14:textId="21369624" w:rsidR="00CA6BBA" w:rsidRDefault="00CA6BBA" w:rsidP="00CA6BBA">
      <w:pPr>
        <w:pStyle w:val="af1"/>
        <w:rPr>
          <w:lang w:val="en-US"/>
        </w:rPr>
      </w:pPr>
      <w:bookmarkStart w:id="2" w:name="_Ref525844630"/>
      <w:r>
        <w:t xml:space="preserve">Proposal </w:t>
      </w:r>
      <w:r w:rsidR="00D13A66">
        <w:fldChar w:fldCharType="begin"/>
      </w:r>
      <w:r w:rsidR="00D13A66">
        <w:instrText xml:space="preserve"> SEQ Proposal \* ARABIC </w:instrText>
      </w:r>
      <w:r w:rsidR="00D13A66">
        <w:fldChar w:fldCharType="separate"/>
      </w:r>
      <w:r w:rsidR="00CE4FF9">
        <w:rPr>
          <w:noProof/>
        </w:rPr>
        <w:t>1</w:t>
      </w:r>
      <w:r w:rsidR="00D13A66">
        <w:rPr>
          <w:noProof/>
        </w:rPr>
        <w:fldChar w:fldCharType="end"/>
      </w:r>
      <w:r>
        <w:rPr>
          <w:lang w:val="en-US"/>
        </w:rPr>
        <w:t xml:space="preserve">: </w:t>
      </w:r>
      <w:r w:rsidR="001B7D8D">
        <w:rPr>
          <w:lang w:val="en-US"/>
        </w:rPr>
        <w:t xml:space="preserve">Directly apply MGTA to the </w:t>
      </w:r>
      <w:r>
        <w:rPr>
          <w:lang w:val="en-US"/>
        </w:rPr>
        <w:t>gap starting time.</w:t>
      </w:r>
      <w:bookmarkEnd w:id="2"/>
    </w:p>
    <w:p w14:paraId="12677895" w14:textId="77777777" w:rsidR="00950D36" w:rsidRDefault="00950D36" w:rsidP="00950D36">
      <w:pPr>
        <w:jc w:val="both"/>
        <w:rPr>
          <w:lang w:eastAsia="en-US"/>
        </w:rPr>
      </w:pPr>
    </w:p>
    <w:p w14:paraId="566B149A" w14:textId="750DA44C" w:rsidR="00CA6BBA" w:rsidRDefault="00CA6BBA" w:rsidP="00CA6BBA">
      <w:pPr>
        <w:jc w:val="both"/>
        <w:rPr>
          <w:b/>
          <w:u w:val="single"/>
        </w:rPr>
      </w:pPr>
      <w:r>
        <w:rPr>
          <w:b/>
          <w:u w:val="single"/>
        </w:rPr>
        <w:t>Large TA in NR</w:t>
      </w:r>
    </w:p>
    <w:p w14:paraId="65022A84" w14:textId="77777777" w:rsidR="00CA6BBA" w:rsidRDefault="00CA6BBA" w:rsidP="00CA6BBA">
      <w:pPr>
        <w:jc w:val="both"/>
      </w:pPr>
      <w:r w:rsidRPr="005C4281">
        <w:t xml:space="preserve">In 38.213, </w:t>
      </w:r>
      <w:r>
        <w:t xml:space="preserve">it specifies the max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t xml:space="preserve"> value could be up to </w:t>
      </w:r>
    </w:p>
    <w:p w14:paraId="1F25EA3D" w14:textId="77777777" w:rsidR="00CA6BBA" w:rsidRDefault="009B7260" w:rsidP="00CA6BBA">
      <w:pPr>
        <w:ind w:firstLine="284"/>
        <w:jc w:val="center"/>
      </w:pPr>
      <m:oMathPara>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=3846*16*</m:t>
          </m:r>
          <m:f>
            <m:fPr>
              <m:ctrlPr>
                <w:rPr>
                  <w:rFonts w:ascii="Cambria Math" w:hAnsi="Cambria Math"/>
                  <w:i/>
                </w:rPr>
              </m:ctrlPr>
            </m:fPr>
            <m:num>
              <m:r>
                <w:rPr>
                  <w:rFonts w:ascii="Cambria Math" w:hAnsi="Cambria Math"/>
                </w:rPr>
                <m:t>64</m:t>
              </m:r>
            </m:num>
            <m:den>
              <m:sSup>
                <m:sSupPr>
                  <m:ctrlPr>
                    <w:rPr>
                      <w:rFonts w:ascii="Cambria Math" w:hAnsi="Cambria Math"/>
                      <w:i/>
                    </w:rPr>
                  </m:ctrlPr>
                </m:sSupPr>
                <m:e>
                  <m:r>
                    <w:rPr>
                      <w:rFonts w:ascii="Cambria Math" w:hAnsi="Cambria Math"/>
                    </w:rPr>
                    <m:t>2</m:t>
                  </m:r>
                </m:e>
                <m:sup>
                  <m:r>
                    <w:rPr>
                      <w:rFonts w:ascii="Cambria Math" w:hAnsi="Cambria Math"/>
                    </w:rPr>
                    <m:t>u</m:t>
                  </m:r>
                </m:sup>
              </m:sSup>
            </m:den>
          </m:f>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=3846*16*</m:t>
          </m:r>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≈2slots</m:t>
          </m:r>
        </m:oMath>
      </m:oMathPara>
    </w:p>
    <w:tbl>
      <w:tblPr>
        <w:tblStyle w:val="af7"/>
        <w:tblW w:w="0" w:type="auto"/>
        <w:tblLook w:val="04A0" w:firstRow="1" w:lastRow="0" w:firstColumn="1" w:lastColumn="0" w:noHBand="0" w:noVBand="1"/>
      </w:tblPr>
      <w:tblGrid>
        <w:gridCol w:w="9629"/>
      </w:tblGrid>
      <w:tr w:rsidR="00CA6BBA" w14:paraId="6BD53800" w14:textId="77777777" w:rsidTr="00325C58">
        <w:tc>
          <w:tcPr>
            <w:tcW w:w="9629" w:type="dxa"/>
          </w:tcPr>
          <w:p w14:paraId="0C97E94D" w14:textId="77777777" w:rsidR="00CA6BBA" w:rsidRPr="00F30E12" w:rsidRDefault="00CA6BBA" w:rsidP="00325C58">
            <w:pPr>
              <w:rPr>
                <w:rFonts w:eastAsia="MS Mincho"/>
                <w:sz w:val="18"/>
              </w:rPr>
            </w:pPr>
            <w:r w:rsidRPr="00F30E12">
              <w:rPr>
                <w:rFonts w:hint="eastAsia"/>
                <w:sz w:val="18"/>
              </w:rPr>
              <w:t xml:space="preserve">In case of random access response, </w:t>
            </w:r>
            <w:r w:rsidRPr="00F30E12">
              <w:rPr>
                <w:sz w:val="18"/>
              </w:rPr>
              <w:t xml:space="preserve">a </w:t>
            </w:r>
            <w:r w:rsidRPr="00F30E12">
              <w:rPr>
                <w:rFonts w:hint="eastAsia"/>
                <w:sz w:val="18"/>
              </w:rPr>
              <w:t xml:space="preserve">timing advance command </w:t>
            </w:r>
            <w:r w:rsidRPr="00F30E12">
              <w:rPr>
                <w:sz w:val="18"/>
              </w:rPr>
              <w:t>[11, TS 38.321]</w:t>
            </w:r>
            <w:r w:rsidRPr="00F30E12">
              <w:rPr>
                <w:rFonts w:hint="eastAsia"/>
                <w:sz w:val="18"/>
              </w:rPr>
              <w:t xml:space="preserve">, </w:t>
            </w:r>
            <w:r w:rsidRPr="00F30E12">
              <w:rPr>
                <w:position w:val="-10"/>
                <w:sz w:val="18"/>
              </w:rPr>
              <w:object w:dxaOrig="260" w:dyaOrig="300" w14:anchorId="46BC2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pt;height:15.75pt" o:ole="">
                  <v:imagedata r:id="rId9" o:title=""/>
                </v:shape>
                <o:OLEObject Type="Embed" ProgID="Equation.3" ShapeID="_x0000_i1025" DrawAspect="Content" ObjectID="_1599676937" r:id="rId10"/>
              </w:object>
            </w:r>
            <w:r w:rsidRPr="00F30E12">
              <w:rPr>
                <w:rFonts w:hint="eastAsia"/>
                <w:sz w:val="18"/>
              </w:rPr>
              <w:t xml:space="preserve">, </w:t>
            </w:r>
            <w:r w:rsidRPr="00F30E12">
              <w:rPr>
                <w:sz w:val="18"/>
              </w:rPr>
              <w:t>for a TAG</w:t>
            </w:r>
            <w:r w:rsidRPr="00F30E12">
              <w:rPr>
                <w:rFonts w:hint="eastAsia"/>
                <w:sz w:val="18"/>
              </w:rPr>
              <w:t xml:space="preserve"> indicates </w:t>
            </w:r>
            <w:r w:rsidRPr="00F30E12">
              <w:rPr>
                <w:position w:val="-10"/>
                <w:sz w:val="18"/>
              </w:rPr>
              <w:object w:dxaOrig="400" w:dyaOrig="300" w14:anchorId="3B93D3E1">
                <v:shape id="_x0000_i1026" type="#_x0000_t75" style="width:19.5pt;height:15.75pt" o:ole="">
                  <v:imagedata r:id="rId11" o:title=""/>
                </v:shape>
                <o:OLEObject Type="Embed" ProgID="Equation.3" ShapeID="_x0000_i1026" DrawAspect="Content" ObjectID="_1599676938" r:id="rId12"/>
              </w:object>
            </w:r>
            <w:r w:rsidRPr="00F30E12">
              <w:rPr>
                <w:rFonts w:hint="eastAsia"/>
                <w:i/>
                <w:sz w:val="18"/>
              </w:rPr>
              <w:t xml:space="preserve"> </w:t>
            </w:r>
            <w:r w:rsidRPr="00F30E12">
              <w:rPr>
                <w:rFonts w:hint="eastAsia"/>
                <w:sz w:val="18"/>
              </w:rPr>
              <w:t xml:space="preserve">values by index values of </w:t>
            </w:r>
            <w:r w:rsidRPr="00F30E12">
              <w:rPr>
                <w:position w:val="-10"/>
                <w:sz w:val="18"/>
              </w:rPr>
              <w:object w:dxaOrig="260" w:dyaOrig="300" w14:anchorId="313432A9">
                <v:shape id="_x0000_i1027" type="#_x0000_t75" style="width:12.4pt;height:15.75pt" o:ole="">
                  <v:imagedata r:id="rId13" o:title=""/>
                </v:shape>
                <o:OLEObject Type="Embed" ProgID="Equation.3" ShapeID="_x0000_i1027" DrawAspect="Content" ObjectID="_1599676939" r:id="rId14"/>
              </w:object>
            </w:r>
            <w:r w:rsidRPr="00F30E12">
              <w:rPr>
                <w:rFonts w:hint="eastAsia"/>
                <w:sz w:val="18"/>
              </w:rPr>
              <w:t xml:space="preserve"> = 0, 1, 2, ..., </w:t>
            </w:r>
            <w:r w:rsidRPr="00F30E12">
              <w:rPr>
                <w:sz w:val="18"/>
              </w:rPr>
              <w:t>3846</w:t>
            </w:r>
            <w:r w:rsidRPr="00F30E12">
              <w:rPr>
                <w:rFonts w:hint="eastAsia"/>
                <w:sz w:val="18"/>
              </w:rPr>
              <w:t>, where a</w:t>
            </w:r>
            <w:r w:rsidRPr="00F30E12">
              <w:rPr>
                <w:sz w:val="18"/>
              </w:rPr>
              <w:t>n</w:t>
            </w:r>
            <w:r w:rsidRPr="00F30E12">
              <w:rPr>
                <w:rFonts w:hint="eastAsia"/>
                <w:sz w:val="18"/>
              </w:rPr>
              <w:t xml:space="preserve"> amount of the time alignment</w:t>
            </w:r>
            <w:r w:rsidRPr="00F30E12">
              <w:rPr>
                <w:sz w:val="18"/>
              </w:rPr>
              <w:t xml:space="preserve"> for the TAG</w:t>
            </w:r>
            <w:r w:rsidRPr="00F30E12">
              <w:rPr>
                <w:rFonts w:hint="eastAsia"/>
                <w:sz w:val="18"/>
              </w:rPr>
              <w:t xml:space="preserve"> </w:t>
            </w:r>
            <w:r w:rsidRPr="00F30E12">
              <w:rPr>
                <w:sz w:val="18"/>
              </w:rPr>
              <w:t xml:space="preserve">for subcarrier spacing of </w:t>
            </w:r>
            <w:r w:rsidRPr="00F30E12">
              <w:rPr>
                <w:position w:val="-6"/>
                <w:sz w:val="18"/>
              </w:rPr>
              <w:object w:dxaOrig="560" w:dyaOrig="300" w14:anchorId="3A8841A8">
                <v:shape id="_x0000_i1028" type="#_x0000_t75" style="width:28.9pt;height:15.75pt" o:ole="">
                  <v:imagedata r:id="rId15" o:title=""/>
                </v:shape>
                <o:OLEObject Type="Embed" ProgID="Equation.3" ShapeID="_x0000_i1028" DrawAspect="Content" ObjectID="_1599676940" r:id="rId16"/>
              </w:object>
            </w:r>
            <w:r w:rsidRPr="00F30E12">
              <w:rPr>
                <w:sz w:val="18"/>
              </w:rPr>
              <w:t xml:space="preserve"> kHz</w:t>
            </w:r>
            <w:r w:rsidRPr="00F30E12">
              <w:rPr>
                <w:rFonts w:hint="eastAsia"/>
                <w:sz w:val="18"/>
              </w:rPr>
              <w:t xml:space="preserve"> is given by </w:t>
            </w:r>
            <w:r w:rsidRPr="00F30E12">
              <w:rPr>
                <w:position w:val="-10"/>
                <w:sz w:val="18"/>
              </w:rPr>
              <w:object w:dxaOrig="1719" w:dyaOrig="340" w14:anchorId="184B8FB8">
                <v:shape id="_x0000_i1029" type="#_x0000_t75" style="width:84pt;height:16.9pt" o:ole="">
                  <v:imagedata r:id="rId17" o:title=""/>
                </v:shape>
                <o:OLEObject Type="Embed" ProgID="Equation.3" ShapeID="_x0000_i1029" DrawAspect="Content" ObjectID="_1599676941" r:id="rId18"/>
              </w:object>
            </w:r>
            <w:r w:rsidRPr="00F30E12">
              <w:rPr>
                <w:rFonts w:hint="eastAsia"/>
                <w:sz w:val="18"/>
              </w:rPr>
              <w:t xml:space="preserve">. </w:t>
            </w:r>
            <w:r w:rsidRPr="00F30E12">
              <w:rPr>
                <w:position w:val="-10"/>
                <w:sz w:val="18"/>
              </w:rPr>
              <w:object w:dxaOrig="400" w:dyaOrig="300" w14:anchorId="25D53679">
                <v:shape id="_x0000_i1030" type="#_x0000_t75" style="width:19.5pt;height:15.75pt" o:ole="">
                  <v:imagedata r:id="rId11" o:title=""/>
                </v:shape>
                <o:OLEObject Type="Embed" ProgID="Equation.3" ShapeID="_x0000_i1030" DrawAspect="Content" ObjectID="_1599676942" r:id="rId19"/>
              </w:object>
            </w:r>
            <w:r w:rsidRPr="00F30E12">
              <w:rPr>
                <w:rFonts w:eastAsia="MS Mincho" w:hint="eastAsia"/>
                <w:i/>
                <w:sz w:val="18"/>
                <w:vertAlign w:val="subscript"/>
              </w:rPr>
              <w:t xml:space="preserve"> </w:t>
            </w:r>
            <w:r w:rsidRPr="00F30E12">
              <w:rPr>
                <w:rFonts w:eastAsia="MS Mincho" w:hint="eastAsia"/>
                <w:sz w:val="18"/>
              </w:rPr>
              <w:t xml:space="preserve">is defined in </w:t>
            </w:r>
            <w:r w:rsidRPr="00F30E12">
              <w:rPr>
                <w:sz w:val="18"/>
              </w:rPr>
              <w:t>[4, TS 38.211</w:t>
            </w:r>
            <w:r w:rsidRPr="00F30E12">
              <w:rPr>
                <w:rFonts w:eastAsia="MS Mincho" w:hint="eastAsia"/>
                <w:sz w:val="18"/>
              </w:rPr>
              <w:t>]</w:t>
            </w:r>
            <w:r w:rsidRPr="00F30E12">
              <w:rPr>
                <w:rFonts w:eastAsia="MS Mincho"/>
                <w:sz w:val="18"/>
              </w:rPr>
              <w:t xml:space="preserve"> and is relative to the subcarrier spacing of the first uplink transmission from the UE after the reception of the random access response</w:t>
            </w:r>
            <w:r w:rsidRPr="00F30E12">
              <w:rPr>
                <w:rFonts w:eastAsia="MS Mincho" w:hint="eastAsia"/>
                <w:sz w:val="18"/>
              </w:rPr>
              <w:t>.</w:t>
            </w:r>
          </w:p>
          <w:p w14:paraId="3ADDD8DC" w14:textId="77777777" w:rsidR="00CA6BBA" w:rsidRDefault="00CA6BBA" w:rsidP="00325C58">
            <w:pPr>
              <w:jc w:val="both"/>
            </w:pPr>
            <w:r w:rsidRPr="00F30E12">
              <w:rPr>
                <w:rFonts w:hint="eastAsia"/>
                <w:sz w:val="18"/>
              </w:rPr>
              <w:t>In other cases,</w:t>
            </w:r>
            <w:r w:rsidRPr="00F30E12">
              <w:rPr>
                <w:sz w:val="18"/>
              </w:rPr>
              <w:t xml:space="preserve"> a</w:t>
            </w:r>
            <w:r w:rsidRPr="00F30E12">
              <w:rPr>
                <w:rFonts w:hint="eastAsia"/>
                <w:sz w:val="18"/>
              </w:rPr>
              <w:t xml:space="preserve"> timing advance command </w:t>
            </w:r>
            <w:r w:rsidRPr="00F30E12">
              <w:rPr>
                <w:sz w:val="18"/>
              </w:rPr>
              <w:t>[11, TS 38.321]</w:t>
            </w:r>
            <w:r w:rsidRPr="00F30E12">
              <w:rPr>
                <w:rFonts w:hint="eastAsia"/>
                <w:sz w:val="18"/>
              </w:rPr>
              <w:t xml:space="preserve">, </w:t>
            </w:r>
            <w:r w:rsidRPr="00F30E12">
              <w:rPr>
                <w:position w:val="-10"/>
                <w:sz w:val="18"/>
              </w:rPr>
              <w:object w:dxaOrig="260" w:dyaOrig="300" w14:anchorId="7F97955F">
                <v:shape id="_x0000_i1031" type="#_x0000_t75" style="width:12.4pt;height:15.75pt" o:ole="">
                  <v:imagedata r:id="rId13" o:title=""/>
                </v:shape>
                <o:OLEObject Type="Embed" ProgID="Equation.3" ShapeID="_x0000_i1031" DrawAspect="Content" ObjectID="_1599676943" r:id="rId20"/>
              </w:object>
            </w:r>
            <w:r w:rsidRPr="00F30E12">
              <w:rPr>
                <w:rFonts w:hint="eastAsia"/>
                <w:sz w:val="18"/>
              </w:rPr>
              <w:t xml:space="preserve">, </w:t>
            </w:r>
            <w:r w:rsidRPr="00F30E12">
              <w:rPr>
                <w:sz w:val="18"/>
              </w:rPr>
              <w:t>for a TAG</w:t>
            </w:r>
            <w:r w:rsidRPr="00F30E12">
              <w:rPr>
                <w:rFonts w:hint="eastAsia"/>
                <w:sz w:val="18"/>
              </w:rPr>
              <w:t xml:space="preserve"> indicates </w:t>
            </w:r>
            <w:r w:rsidRPr="00F30E12">
              <w:rPr>
                <w:rFonts w:eastAsia="MS Mincho" w:hint="eastAsia"/>
                <w:sz w:val="18"/>
              </w:rPr>
              <w:t>adjustment of</w:t>
            </w:r>
            <w:r w:rsidRPr="00F30E12">
              <w:rPr>
                <w:rFonts w:hint="eastAsia"/>
                <w:sz w:val="18"/>
              </w:rPr>
              <w:t xml:space="preserve"> the current</w:t>
            </w:r>
            <w:r w:rsidRPr="00F30E12">
              <w:rPr>
                <w:rFonts w:eastAsia="MS Mincho" w:hint="eastAsia"/>
                <w:sz w:val="18"/>
              </w:rPr>
              <w:t xml:space="preserve"> </w:t>
            </w:r>
            <w:r w:rsidRPr="00F30E12">
              <w:rPr>
                <w:position w:val="-10"/>
                <w:sz w:val="18"/>
              </w:rPr>
              <w:object w:dxaOrig="400" w:dyaOrig="300" w14:anchorId="754A6069">
                <v:shape id="_x0000_i1032" type="#_x0000_t75" style="width:19.5pt;height:15.75pt" o:ole="">
                  <v:imagedata r:id="rId11" o:title=""/>
                </v:shape>
                <o:OLEObject Type="Embed" ProgID="Equation.3" ShapeID="_x0000_i1032" DrawAspect="Content" ObjectID="_1599676944" r:id="rId21"/>
              </w:object>
            </w:r>
            <w:r w:rsidRPr="00F30E12">
              <w:rPr>
                <w:rFonts w:hint="eastAsia"/>
                <w:i/>
                <w:sz w:val="18"/>
              </w:rPr>
              <w:t xml:space="preserve"> </w:t>
            </w:r>
            <w:r w:rsidRPr="00F30E12">
              <w:rPr>
                <w:rFonts w:hint="eastAsia"/>
                <w:sz w:val="18"/>
              </w:rPr>
              <w:t xml:space="preserve">value, </w:t>
            </w:r>
            <w:r w:rsidRPr="00F30E12">
              <w:rPr>
                <w:position w:val="-12"/>
                <w:sz w:val="18"/>
              </w:rPr>
              <w:object w:dxaOrig="620" w:dyaOrig="320" w14:anchorId="41618292">
                <v:shape id="_x0000_i1033" type="#_x0000_t75" style="width:30pt;height:16.5pt" o:ole="">
                  <v:imagedata r:id="rId22" o:title=""/>
                </v:shape>
                <o:OLEObject Type="Embed" ProgID="Equation.3" ShapeID="_x0000_i1033" DrawAspect="Content" ObjectID="_1599676945" r:id="rId23"/>
              </w:object>
            </w:r>
            <w:r w:rsidRPr="00F30E12">
              <w:rPr>
                <w:rFonts w:hint="eastAsia"/>
                <w:sz w:val="18"/>
              </w:rPr>
              <w:t xml:space="preserve">, to the new </w:t>
            </w:r>
            <w:r w:rsidRPr="00F30E12">
              <w:rPr>
                <w:position w:val="-10"/>
                <w:sz w:val="18"/>
              </w:rPr>
              <w:object w:dxaOrig="400" w:dyaOrig="300" w14:anchorId="54DB0091">
                <v:shape id="_x0000_i1034" type="#_x0000_t75" style="width:19.5pt;height:15.75pt" o:ole="">
                  <v:imagedata r:id="rId11" o:title=""/>
                </v:shape>
                <o:OLEObject Type="Embed" ProgID="Equation.3" ShapeID="_x0000_i1034" DrawAspect="Content" ObjectID="_1599676946" r:id="rId24"/>
              </w:object>
            </w:r>
            <w:r w:rsidRPr="00F30E12">
              <w:rPr>
                <w:rFonts w:hint="eastAsia"/>
                <w:i/>
                <w:sz w:val="18"/>
              </w:rPr>
              <w:t xml:space="preserve"> </w:t>
            </w:r>
            <w:r w:rsidRPr="00F30E12">
              <w:rPr>
                <w:rFonts w:hint="eastAsia"/>
                <w:sz w:val="18"/>
              </w:rPr>
              <w:t xml:space="preserve">value, </w:t>
            </w:r>
            <w:r w:rsidRPr="00F30E12">
              <w:rPr>
                <w:position w:val="-12"/>
                <w:sz w:val="18"/>
              </w:rPr>
              <w:object w:dxaOrig="660" w:dyaOrig="320" w14:anchorId="70B1993C">
                <v:shape id="_x0000_i1035" type="#_x0000_t75" style="width:31.9pt;height:16.5pt" o:ole="">
                  <v:imagedata r:id="rId25" o:title=""/>
                </v:shape>
                <o:OLEObject Type="Embed" ProgID="Equation.3" ShapeID="_x0000_i1035" DrawAspect="Content" ObjectID="_1599676947" r:id="rId26"/>
              </w:object>
            </w:r>
            <w:r w:rsidRPr="00F30E12">
              <w:rPr>
                <w:rFonts w:hint="eastAsia"/>
                <w:sz w:val="18"/>
              </w:rPr>
              <w:t>,</w:t>
            </w:r>
            <w:r w:rsidRPr="00F30E12">
              <w:rPr>
                <w:rFonts w:eastAsia="MS Mincho" w:hint="eastAsia"/>
                <w:sz w:val="18"/>
              </w:rPr>
              <w:t xml:space="preserve"> by</w:t>
            </w:r>
            <w:r w:rsidRPr="00F30E12">
              <w:rPr>
                <w:rFonts w:hint="eastAsia"/>
                <w:sz w:val="18"/>
              </w:rPr>
              <w:t xml:space="preserve"> index values of </w:t>
            </w:r>
            <w:r w:rsidRPr="00F30E12">
              <w:rPr>
                <w:position w:val="-10"/>
                <w:sz w:val="18"/>
              </w:rPr>
              <w:object w:dxaOrig="260" w:dyaOrig="300" w14:anchorId="6850757A">
                <v:shape id="_x0000_i1036" type="#_x0000_t75" style="width:12.4pt;height:15.75pt" o:ole="">
                  <v:imagedata r:id="rId13" o:title=""/>
                </v:shape>
                <o:OLEObject Type="Embed" ProgID="Equation.3" ShapeID="_x0000_i1036" DrawAspect="Content" ObjectID="_1599676948" r:id="rId27"/>
              </w:object>
            </w:r>
            <w:r w:rsidRPr="00F30E12">
              <w:rPr>
                <w:rFonts w:hint="eastAsia"/>
                <w:sz w:val="18"/>
              </w:rPr>
              <w:t xml:space="preserve"> = 0, 1, 2,..., </w:t>
            </w:r>
            <w:r w:rsidRPr="00F30E12">
              <w:rPr>
                <w:sz w:val="18"/>
              </w:rPr>
              <w:t>63</w:t>
            </w:r>
            <w:r w:rsidRPr="00F30E12">
              <w:rPr>
                <w:rFonts w:hint="eastAsia"/>
                <w:sz w:val="18"/>
              </w:rPr>
              <w:t>, where</w:t>
            </w:r>
            <w:r w:rsidRPr="00F30E12">
              <w:rPr>
                <w:sz w:val="18"/>
              </w:rPr>
              <w:t xml:space="preserve"> for a </w:t>
            </w:r>
            <w:r w:rsidRPr="00F30E12">
              <w:rPr>
                <w:rFonts w:eastAsia="MS Mincho"/>
                <w:sz w:val="18"/>
              </w:rPr>
              <w:t xml:space="preserve">subcarrier spacing of </w:t>
            </w:r>
            <w:r w:rsidRPr="00F30E12">
              <w:rPr>
                <w:position w:val="-6"/>
                <w:sz w:val="18"/>
              </w:rPr>
              <w:object w:dxaOrig="560" w:dyaOrig="300" w14:anchorId="71B7ABB3">
                <v:shape id="_x0000_i1037" type="#_x0000_t75" style="width:28.5pt;height:15.75pt" o:ole="">
                  <v:imagedata r:id="rId28" o:title=""/>
                </v:shape>
                <o:OLEObject Type="Embed" ProgID="Equation.3" ShapeID="_x0000_i1037" DrawAspect="Content" ObjectID="_1599676949" r:id="rId29"/>
              </w:object>
            </w:r>
            <w:r w:rsidRPr="00F30E12">
              <w:rPr>
                <w:sz w:val="18"/>
              </w:rPr>
              <w:t xml:space="preserve"> kHz, </w:t>
            </w:r>
            <w:r w:rsidRPr="00F30E12">
              <w:rPr>
                <w:position w:val="-12"/>
                <w:sz w:val="18"/>
              </w:rPr>
              <w:object w:dxaOrig="3200" w:dyaOrig="360" w14:anchorId="2E42DED3">
                <v:shape id="_x0000_i1038" type="#_x0000_t75" style="width:156pt;height:18pt" o:ole="">
                  <v:imagedata r:id="rId30" o:title=""/>
                </v:shape>
                <o:OLEObject Type="Embed" ProgID="Equation.3" ShapeID="_x0000_i1038" DrawAspect="Content" ObjectID="_1599676950" r:id="rId31"/>
              </w:object>
            </w:r>
            <w:r w:rsidRPr="00F30E12">
              <w:rPr>
                <w:rFonts w:hint="eastAsia"/>
                <w:sz w:val="18"/>
              </w:rPr>
              <w:t>.</w:t>
            </w:r>
          </w:p>
        </w:tc>
      </w:tr>
    </w:tbl>
    <w:p w14:paraId="6DD24E29" w14:textId="77777777" w:rsidR="00CA6BBA" w:rsidRDefault="00CA6BBA" w:rsidP="00CA6BBA">
      <w:pPr>
        <w:jc w:val="both"/>
      </w:pPr>
      <w:r>
        <w:t>Therefore, in some cases there will be up to 2 UL slots overlapped by measurement gap. This issue should also be considered when deciding the rule.</w:t>
      </w:r>
    </w:p>
    <w:p w14:paraId="380D65F8" w14:textId="2AF53543" w:rsidR="00CA6BBA" w:rsidRPr="006534F9" w:rsidRDefault="00CA6BBA" w:rsidP="00CA6BBA">
      <w:pPr>
        <w:rPr>
          <w:b/>
          <w:i/>
          <w:sz w:val="20"/>
          <w:szCs w:val="20"/>
          <w:lang w:val="x-none" w:eastAsia="x-none"/>
        </w:rPr>
      </w:pPr>
      <w:bookmarkStart w:id="3" w:name="_Ref525844622"/>
      <w:r w:rsidRPr="006534F9">
        <w:rPr>
          <w:b/>
          <w:i/>
          <w:sz w:val="20"/>
          <w:szCs w:val="20"/>
          <w:lang w:val="x-none" w:eastAsia="x-none"/>
        </w:rPr>
        <w:t xml:space="preserve">Observation </w:t>
      </w:r>
      <w:r w:rsidRPr="006534F9">
        <w:rPr>
          <w:b/>
          <w:i/>
          <w:sz w:val="20"/>
          <w:szCs w:val="20"/>
          <w:lang w:val="x-none" w:eastAsia="x-none"/>
        </w:rPr>
        <w:fldChar w:fldCharType="begin"/>
      </w:r>
      <w:r w:rsidRPr="006534F9">
        <w:rPr>
          <w:b/>
          <w:i/>
          <w:sz w:val="20"/>
          <w:szCs w:val="20"/>
          <w:lang w:val="x-none" w:eastAsia="x-none"/>
        </w:rPr>
        <w:instrText xml:space="preserve"> SEQ Observation \* ARABIC </w:instrText>
      </w:r>
      <w:r w:rsidRPr="006534F9">
        <w:rPr>
          <w:b/>
          <w:i/>
          <w:sz w:val="20"/>
          <w:szCs w:val="20"/>
          <w:lang w:val="x-none" w:eastAsia="x-none"/>
        </w:rPr>
        <w:fldChar w:fldCharType="separate"/>
      </w:r>
      <w:r w:rsidR="00325C58">
        <w:rPr>
          <w:b/>
          <w:i/>
          <w:noProof/>
          <w:sz w:val="20"/>
          <w:szCs w:val="20"/>
          <w:lang w:val="x-none" w:eastAsia="x-none"/>
        </w:rPr>
        <w:t>1</w:t>
      </w:r>
      <w:r w:rsidRPr="006534F9">
        <w:rPr>
          <w:b/>
          <w:i/>
          <w:sz w:val="20"/>
          <w:szCs w:val="20"/>
          <w:lang w:val="x-none" w:eastAsia="x-none"/>
        </w:rPr>
        <w:fldChar w:fldCharType="end"/>
      </w:r>
      <w:r w:rsidRPr="006534F9">
        <w:rPr>
          <w:b/>
          <w:i/>
          <w:sz w:val="20"/>
          <w:szCs w:val="20"/>
          <w:lang w:val="x-none" w:eastAsia="x-none"/>
        </w:rPr>
        <w:t xml:space="preserve">: </w:t>
      </w:r>
      <w:r w:rsidR="00BC3062">
        <w:rPr>
          <w:b/>
          <w:i/>
          <w:sz w:val="20"/>
          <w:szCs w:val="20"/>
          <w:lang w:eastAsia="x-none"/>
        </w:rPr>
        <w:t>T</w:t>
      </w:r>
      <w:r w:rsidRPr="006534F9">
        <w:rPr>
          <w:b/>
          <w:i/>
          <w:sz w:val="20"/>
          <w:szCs w:val="20"/>
          <w:lang w:val="x-none" w:eastAsia="x-none"/>
        </w:rPr>
        <w:t>he maximum TA in NR could be up to 2 slots.</w:t>
      </w:r>
      <w:bookmarkEnd w:id="3"/>
    </w:p>
    <w:p w14:paraId="34D02664" w14:textId="77777777" w:rsidR="00325C58" w:rsidRDefault="00325C58" w:rsidP="00950D36">
      <w:pPr>
        <w:jc w:val="both"/>
        <w:rPr>
          <w:lang w:eastAsia="en-US"/>
        </w:rPr>
      </w:pPr>
    </w:p>
    <w:p w14:paraId="04B40CEB" w14:textId="30ED6112" w:rsidR="00325C58" w:rsidRDefault="00325C58" w:rsidP="00950D36">
      <w:pPr>
        <w:jc w:val="both"/>
        <w:rPr>
          <w:lang w:eastAsia="en-US"/>
        </w:rPr>
      </w:pPr>
      <w:r>
        <w:rPr>
          <w:lang w:eastAsia="en-US"/>
        </w:rPr>
        <w:t xml:space="preserve">One issue of large TA is illustrated in </w:t>
      </w:r>
      <w:r>
        <w:rPr>
          <w:lang w:eastAsia="en-US"/>
        </w:rPr>
        <w:fldChar w:fldCharType="begin"/>
      </w:r>
      <w:r>
        <w:rPr>
          <w:lang w:eastAsia="en-US"/>
        </w:rPr>
        <w:instrText xml:space="preserve"> REF _Ref525842165 \h </w:instrText>
      </w:r>
      <w:r>
        <w:rPr>
          <w:lang w:eastAsia="en-US"/>
        </w:rPr>
      </w:r>
      <w:r>
        <w:rPr>
          <w:lang w:eastAsia="en-US"/>
        </w:rPr>
        <w:fldChar w:fldCharType="separate"/>
      </w:r>
      <w:r>
        <w:t xml:space="preserve">Figure </w:t>
      </w:r>
      <w:r>
        <w:rPr>
          <w:noProof/>
        </w:rPr>
        <w:t>2</w:t>
      </w:r>
      <w:r>
        <w:rPr>
          <w:lang w:eastAsia="en-US"/>
        </w:rPr>
        <w:fldChar w:fldCharType="end"/>
      </w:r>
      <w:r>
        <w:rPr>
          <w:lang w:eastAsia="en-US"/>
        </w:rPr>
        <w:t xml:space="preserve">, when </w:t>
      </w:r>
      <w:r>
        <w:t xml:space="preserve">gap starting time aligns with a DL slot. </w:t>
      </w:r>
      <w:r w:rsidR="00ED4CF2">
        <w:t>(</w:t>
      </w:r>
      <w:r w:rsidR="00ED4CF2">
        <w:rPr>
          <w:lang w:eastAsia="en-US"/>
        </w:rPr>
        <w:t>The example, is provided in FDD, but the issue remains the same in TDD.</w:t>
      </w:r>
      <w:r w:rsidR="00ED4CF2">
        <w:t xml:space="preserve">) </w:t>
      </w:r>
      <w:r w:rsidR="001E24A5">
        <w:t xml:space="preserve">Interrupted slots are filled with green color. </w:t>
      </w:r>
      <w:r>
        <w:t xml:space="preserve">When small TA is considered as in </w:t>
      </w:r>
      <w:r>
        <w:rPr>
          <w:lang w:eastAsia="en-US"/>
        </w:rPr>
        <w:fldChar w:fldCharType="begin"/>
      </w:r>
      <w:r>
        <w:rPr>
          <w:lang w:eastAsia="en-US"/>
        </w:rPr>
        <w:instrText xml:space="preserve"> REF _Ref525842165 \h </w:instrText>
      </w:r>
      <w:r>
        <w:rPr>
          <w:lang w:eastAsia="en-US"/>
        </w:rPr>
      </w:r>
      <w:r>
        <w:rPr>
          <w:lang w:eastAsia="en-US"/>
        </w:rPr>
        <w:fldChar w:fldCharType="separate"/>
      </w:r>
      <w:r>
        <w:t xml:space="preserve">Figure </w:t>
      </w:r>
      <w:r>
        <w:rPr>
          <w:noProof/>
        </w:rPr>
        <w:t>2</w:t>
      </w:r>
      <w:r>
        <w:rPr>
          <w:lang w:eastAsia="en-US"/>
        </w:rPr>
        <w:fldChar w:fldCharType="end"/>
      </w:r>
      <w:r>
        <w:rPr>
          <w:lang w:eastAsia="en-US"/>
        </w:rPr>
        <w:t xml:space="preserve">(a), UE cannot transmit signals in slot 2, 3, … 8. </w:t>
      </w:r>
      <w:r>
        <w:t xml:space="preserve">. When large TA is considered as in </w:t>
      </w:r>
      <w:r>
        <w:rPr>
          <w:lang w:eastAsia="en-US"/>
        </w:rPr>
        <w:fldChar w:fldCharType="begin"/>
      </w:r>
      <w:r>
        <w:rPr>
          <w:lang w:eastAsia="en-US"/>
        </w:rPr>
        <w:instrText xml:space="preserve"> REF _Ref525842165 \h </w:instrText>
      </w:r>
      <w:r>
        <w:rPr>
          <w:lang w:eastAsia="en-US"/>
        </w:rPr>
      </w:r>
      <w:r>
        <w:rPr>
          <w:lang w:eastAsia="en-US"/>
        </w:rPr>
        <w:fldChar w:fldCharType="separate"/>
      </w:r>
      <w:r>
        <w:t xml:space="preserve">Figure </w:t>
      </w:r>
      <w:r>
        <w:rPr>
          <w:noProof/>
        </w:rPr>
        <w:t>2</w:t>
      </w:r>
      <w:r>
        <w:rPr>
          <w:lang w:eastAsia="en-US"/>
        </w:rPr>
        <w:fldChar w:fldCharType="end"/>
      </w:r>
      <w:r>
        <w:rPr>
          <w:lang w:eastAsia="en-US"/>
        </w:rPr>
        <w:t xml:space="preserve">(b), UE cannot transmit signals in slot 3, 4, … 9. In this case, a clear rule should be </w:t>
      </w:r>
      <w:r>
        <w:rPr>
          <w:lang w:eastAsia="en-US"/>
        </w:rPr>
        <w:lastRenderedPageBreak/>
        <w:t>set between network and UE on which slot can be dropped. So that UE does not drop the slot in which gNB assumes UE will transmit or vice versa. Fundamentally, if network can correctly know the absolute amount of accumulated TA, then it could be possible to set up some rule. Otherwise, network has no idea which slot UE will drop.</w:t>
      </w:r>
      <w:r w:rsidR="00ED4CF2">
        <w:rPr>
          <w:lang w:eastAsia="en-US"/>
        </w:rPr>
        <w:t xml:space="preserve"> </w:t>
      </w:r>
    </w:p>
    <w:p w14:paraId="6A9B6C0A" w14:textId="77777777" w:rsidR="00325C58" w:rsidRPr="00325C58" w:rsidRDefault="00325C58" w:rsidP="00950D36">
      <w:pPr>
        <w:jc w:val="both"/>
        <w:rPr>
          <w:lang w:eastAsia="en-US"/>
        </w:rPr>
      </w:pPr>
    </w:p>
    <w:p w14:paraId="3F926B65" w14:textId="268859F4" w:rsidR="003D2490" w:rsidRDefault="001E24A5" w:rsidP="00950D36">
      <w:pPr>
        <w:jc w:val="both"/>
        <w:rPr>
          <w:lang w:val="x-none" w:eastAsia="en-US"/>
        </w:rPr>
      </w:pPr>
      <w:r w:rsidRPr="001E24A5">
        <w:rPr>
          <w:noProof/>
        </w:rPr>
        <w:drawing>
          <wp:inline distT="0" distB="0" distL="0" distR="0" wp14:anchorId="66F9CBB2" wp14:editId="6A3427D2">
            <wp:extent cx="6120765" cy="1973445"/>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120765" cy="1973445"/>
                    </a:xfrm>
                    <a:prstGeom prst="rect">
                      <a:avLst/>
                    </a:prstGeom>
                    <a:noFill/>
                    <a:ln>
                      <a:noFill/>
                    </a:ln>
                  </pic:spPr>
                </pic:pic>
              </a:graphicData>
            </a:graphic>
          </wp:inline>
        </w:drawing>
      </w:r>
    </w:p>
    <w:p w14:paraId="4317D642" w14:textId="11A76E3B" w:rsidR="00325C58" w:rsidRPr="00325C58" w:rsidRDefault="00325C58" w:rsidP="00325C58">
      <w:pPr>
        <w:pStyle w:val="af1"/>
        <w:jc w:val="center"/>
        <w:rPr>
          <w:lang w:val="en-US" w:eastAsia="en-US"/>
        </w:rPr>
      </w:pPr>
      <w:bookmarkStart w:id="4" w:name="_Ref525842165"/>
      <w:r>
        <w:t xml:space="preserve">Figure </w:t>
      </w:r>
      <w:r w:rsidR="00D13A66">
        <w:fldChar w:fldCharType="begin"/>
      </w:r>
      <w:r w:rsidR="00D13A66">
        <w:instrText xml:space="preserve"> SEQ Figure \* ARABIC </w:instrText>
      </w:r>
      <w:r w:rsidR="00D13A66">
        <w:fldChar w:fldCharType="separate"/>
      </w:r>
      <w:r>
        <w:rPr>
          <w:noProof/>
        </w:rPr>
        <w:t>2</w:t>
      </w:r>
      <w:r w:rsidR="00D13A66">
        <w:rPr>
          <w:noProof/>
        </w:rPr>
        <w:fldChar w:fldCharType="end"/>
      </w:r>
      <w:bookmarkEnd w:id="4"/>
      <w:r>
        <w:rPr>
          <w:lang w:val="en-US"/>
        </w:rPr>
        <w:t>. One issue of large TA, when gap starting time aligns with a DL slot</w:t>
      </w:r>
    </w:p>
    <w:p w14:paraId="535FC619" w14:textId="150D8F49" w:rsidR="00325C58" w:rsidRPr="00DF70DF" w:rsidRDefault="00325C58" w:rsidP="00325C58">
      <w:pPr>
        <w:pStyle w:val="af1"/>
        <w:jc w:val="both"/>
        <w:rPr>
          <w:lang w:val="en-US" w:eastAsia="en-US"/>
        </w:rPr>
      </w:pPr>
      <w:bookmarkStart w:id="5" w:name="_Ref525844625"/>
      <w:r>
        <w:t xml:space="preserve">Observation </w:t>
      </w:r>
      <w:r w:rsidR="00D13A66">
        <w:fldChar w:fldCharType="begin"/>
      </w:r>
      <w:r w:rsidR="00D13A66">
        <w:instrText xml:space="preserve"> SEQ Observation \* ARABIC </w:instrText>
      </w:r>
      <w:r w:rsidR="00D13A66">
        <w:fldChar w:fldCharType="separate"/>
      </w:r>
      <w:r>
        <w:rPr>
          <w:noProof/>
        </w:rPr>
        <w:t>2</w:t>
      </w:r>
      <w:r w:rsidR="00D13A66">
        <w:rPr>
          <w:noProof/>
        </w:rPr>
        <w:fldChar w:fldCharType="end"/>
      </w:r>
      <w:r>
        <w:rPr>
          <w:lang w:val="en-US"/>
        </w:rPr>
        <w:t xml:space="preserve">: </w:t>
      </w:r>
      <w:r>
        <w:rPr>
          <w:lang w:val="en-US" w:eastAsia="en-US"/>
        </w:rPr>
        <w:t>W</w:t>
      </w:r>
      <w:r>
        <w:rPr>
          <w:lang w:eastAsia="en-US"/>
        </w:rPr>
        <w:t xml:space="preserve">hen </w:t>
      </w:r>
      <w:r>
        <w:rPr>
          <w:lang w:val="en-US"/>
        </w:rPr>
        <w:t>gap starting time aligns with a DL slot, i</w:t>
      </w:r>
      <w:r>
        <w:rPr>
          <w:lang w:eastAsia="en-US"/>
        </w:rPr>
        <w:t>f network can correctly know the absolute amount of accumulated TA</w:t>
      </w:r>
      <w:r w:rsidR="00F949F4">
        <w:rPr>
          <w:lang w:val="en-US" w:eastAsia="en-US"/>
        </w:rPr>
        <w:t xml:space="preserve"> of UE</w:t>
      </w:r>
      <w:r>
        <w:rPr>
          <w:lang w:eastAsia="en-US"/>
        </w:rPr>
        <w:t>, then it could be possible to set up some rule</w:t>
      </w:r>
      <w:r w:rsidR="00DF70DF">
        <w:rPr>
          <w:lang w:val="en-US" w:eastAsia="en-US"/>
        </w:rPr>
        <w:t xml:space="preserve"> on which slots UE should or should not drop</w:t>
      </w:r>
      <w:r>
        <w:rPr>
          <w:lang w:eastAsia="en-US"/>
        </w:rPr>
        <w:t>. Otherwise, network has no idea which slot UE will drop</w:t>
      </w:r>
      <w:r w:rsidR="00DF70DF">
        <w:rPr>
          <w:lang w:val="en-US" w:eastAsia="en-US"/>
        </w:rPr>
        <w:t>.</w:t>
      </w:r>
      <w:bookmarkEnd w:id="5"/>
    </w:p>
    <w:p w14:paraId="1C3F8DBF" w14:textId="2E3DD47D" w:rsidR="00325C58" w:rsidRPr="00F949F4" w:rsidRDefault="00F949F4" w:rsidP="00F949F4">
      <w:pPr>
        <w:pStyle w:val="af1"/>
        <w:rPr>
          <w:lang w:val="en-US" w:eastAsia="en-US"/>
        </w:rPr>
      </w:pPr>
      <w:bookmarkStart w:id="6" w:name="_Ref525844631"/>
      <w:r>
        <w:t xml:space="preserve">Proposal </w:t>
      </w:r>
      <w:r w:rsidR="00D13A66">
        <w:fldChar w:fldCharType="begin"/>
      </w:r>
      <w:r w:rsidR="00D13A66">
        <w:instrText xml:space="preserve"> SEQ Proposal \* ARABIC </w:instrText>
      </w:r>
      <w:r w:rsidR="00D13A66">
        <w:fldChar w:fldCharType="separate"/>
      </w:r>
      <w:r w:rsidR="00CE4FF9">
        <w:rPr>
          <w:noProof/>
        </w:rPr>
        <w:t>2</w:t>
      </w:r>
      <w:r w:rsidR="00D13A66">
        <w:rPr>
          <w:noProof/>
        </w:rPr>
        <w:fldChar w:fldCharType="end"/>
      </w:r>
      <w:r>
        <w:rPr>
          <w:lang w:val="en-US"/>
        </w:rPr>
        <w:t xml:space="preserve">: RAN4 to study if </w:t>
      </w:r>
      <w:r>
        <w:rPr>
          <w:lang w:eastAsia="en-US"/>
        </w:rPr>
        <w:t>network can correctly know the absolute amount of accumulated TA</w:t>
      </w:r>
      <w:r>
        <w:rPr>
          <w:lang w:val="en-US" w:eastAsia="en-US"/>
        </w:rPr>
        <w:t xml:space="preserve"> of UE.</w:t>
      </w:r>
      <w:bookmarkEnd w:id="6"/>
    </w:p>
    <w:p w14:paraId="3AB10E31" w14:textId="77777777" w:rsidR="00F949F4" w:rsidRDefault="00F949F4" w:rsidP="003D2490">
      <w:pPr>
        <w:rPr>
          <w:lang w:val="en-GB" w:eastAsia="en-US"/>
        </w:rPr>
      </w:pPr>
    </w:p>
    <w:p w14:paraId="2DC8AC64" w14:textId="74354550" w:rsidR="001E24A5" w:rsidRDefault="00DF70DF" w:rsidP="001E24A5">
      <w:pPr>
        <w:jc w:val="both"/>
      </w:pPr>
      <w:r>
        <w:rPr>
          <w:lang w:val="en-GB" w:eastAsia="en-US"/>
        </w:rPr>
        <w:t xml:space="preserve">The situation gets even complicated if </w:t>
      </w:r>
      <w:r>
        <w:t>gap starting time aligns with a DL slot in TDD case</w:t>
      </w:r>
      <w:r w:rsidR="001E24A5">
        <w:t xml:space="preserve">, as illustrated in </w:t>
      </w:r>
      <w:r w:rsidR="001E24A5">
        <w:fldChar w:fldCharType="begin"/>
      </w:r>
      <w:r w:rsidR="001E24A5">
        <w:instrText xml:space="preserve"> REF _Ref525843331 \h </w:instrText>
      </w:r>
      <w:r w:rsidR="001E24A5">
        <w:fldChar w:fldCharType="separate"/>
      </w:r>
      <w:r w:rsidR="001E24A5">
        <w:t xml:space="preserve">Figure </w:t>
      </w:r>
      <w:r w:rsidR="001E24A5">
        <w:rPr>
          <w:noProof/>
        </w:rPr>
        <w:t>3</w:t>
      </w:r>
      <w:r w:rsidR="001E24A5">
        <w:fldChar w:fldCharType="end"/>
      </w:r>
      <w:r w:rsidR="001E24A5">
        <w:t xml:space="preserve">, where special slots are assumed to be DL slots. Small TA is considered in </w:t>
      </w:r>
      <w:r w:rsidR="001E24A5">
        <w:fldChar w:fldCharType="begin"/>
      </w:r>
      <w:r w:rsidR="001E24A5">
        <w:instrText xml:space="preserve"> REF _Ref525843331 \h </w:instrText>
      </w:r>
      <w:r w:rsidR="001E24A5">
        <w:fldChar w:fldCharType="separate"/>
      </w:r>
      <w:r w:rsidR="001E24A5">
        <w:t xml:space="preserve">Figure </w:t>
      </w:r>
      <w:r w:rsidR="001E24A5">
        <w:rPr>
          <w:noProof/>
        </w:rPr>
        <w:t>3</w:t>
      </w:r>
      <w:r w:rsidR="001E24A5">
        <w:fldChar w:fldCharType="end"/>
      </w:r>
      <w:r w:rsidR="001E24A5">
        <w:t xml:space="preserve">(a). In this case, slot 2, 3, … 8 will be interrupted. Thus UE cannot receive data in slot 2, but can transmit data at slot 9. Now, if the TA keeps increasing to be larger than a slot, then there is an ambiguity on which UL slot can be used to align the gap starting time. If UE sticks to the slot used in small TA, as shown in </w:t>
      </w:r>
      <w:r w:rsidR="001E24A5">
        <w:fldChar w:fldCharType="begin"/>
      </w:r>
      <w:r w:rsidR="001E24A5">
        <w:instrText xml:space="preserve"> REF _Ref525843331 \h </w:instrText>
      </w:r>
      <w:r w:rsidR="001E24A5">
        <w:fldChar w:fldCharType="separate"/>
      </w:r>
      <w:r w:rsidR="001E24A5">
        <w:t xml:space="preserve">Figure </w:t>
      </w:r>
      <w:r w:rsidR="001E24A5">
        <w:rPr>
          <w:noProof/>
        </w:rPr>
        <w:t>3</w:t>
      </w:r>
      <w:r w:rsidR="001E24A5">
        <w:fldChar w:fldCharType="end"/>
      </w:r>
      <w:r w:rsidR="001E24A5">
        <w:t xml:space="preserve">(b), then slot </w:t>
      </w:r>
      <w:r w:rsidR="00F949F4">
        <w:t xml:space="preserve">1 will also be additionally interrupted. If UE changes the starting point to align with slot 4, then slot 3 will no longer be interrupted, but slot 9 will. To solve this issue, the fundamental question is the same: </w:t>
      </w:r>
      <w:r w:rsidR="00F949F4">
        <w:rPr>
          <w:lang w:eastAsia="en-US"/>
        </w:rPr>
        <w:t>whether network can correctly know the absolute amount of accumulated TA. If yes, then rule can be set on which slot to be used for the gap starting time to align. Otherwise, it may be easier to always assume the gap starting time aligns with some virtual DL slot boundary.</w:t>
      </w:r>
    </w:p>
    <w:p w14:paraId="45748CC0" w14:textId="77777777" w:rsidR="001E24A5" w:rsidRDefault="001E24A5" w:rsidP="003D2490">
      <w:pPr>
        <w:rPr>
          <w:lang w:val="en-GB" w:eastAsia="en-US"/>
        </w:rPr>
      </w:pPr>
    </w:p>
    <w:p w14:paraId="356EACDC" w14:textId="4182C85F" w:rsidR="001E24A5" w:rsidRDefault="00ED4CF2" w:rsidP="001E24A5">
      <w:pPr>
        <w:jc w:val="both"/>
        <w:rPr>
          <w:lang w:val="x-none" w:eastAsia="en-US"/>
        </w:rPr>
      </w:pPr>
      <w:r w:rsidRPr="00ED4CF2">
        <w:rPr>
          <w:noProof/>
        </w:rPr>
        <w:lastRenderedPageBreak/>
        <w:drawing>
          <wp:inline distT="0" distB="0" distL="0" distR="0" wp14:anchorId="320E2EA7" wp14:editId="4310BEE9">
            <wp:extent cx="6120765" cy="2962857"/>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20765" cy="2962857"/>
                    </a:xfrm>
                    <a:prstGeom prst="rect">
                      <a:avLst/>
                    </a:prstGeom>
                    <a:noFill/>
                    <a:ln>
                      <a:noFill/>
                    </a:ln>
                  </pic:spPr>
                </pic:pic>
              </a:graphicData>
            </a:graphic>
          </wp:inline>
        </w:drawing>
      </w:r>
      <w:r w:rsidR="001E24A5" w:rsidRPr="001E24A5">
        <w:rPr>
          <w:lang w:val="x-none" w:eastAsia="en-US"/>
        </w:rPr>
        <w:t xml:space="preserve"> </w:t>
      </w:r>
    </w:p>
    <w:p w14:paraId="71EA3867" w14:textId="54FDE59F" w:rsidR="001E24A5" w:rsidRPr="00325C58" w:rsidRDefault="001E24A5" w:rsidP="001E24A5">
      <w:pPr>
        <w:pStyle w:val="af1"/>
        <w:jc w:val="center"/>
        <w:rPr>
          <w:lang w:val="en-US" w:eastAsia="en-US"/>
        </w:rPr>
      </w:pPr>
      <w:bookmarkStart w:id="7" w:name="_Ref525843331"/>
      <w:r>
        <w:t xml:space="preserve">Figure </w:t>
      </w:r>
      <w:r>
        <w:fldChar w:fldCharType="begin"/>
      </w:r>
      <w:r>
        <w:instrText xml:space="preserve"> SEQ Figure \* ARABIC </w:instrText>
      </w:r>
      <w:r>
        <w:fldChar w:fldCharType="separate"/>
      </w:r>
      <w:r>
        <w:rPr>
          <w:noProof/>
        </w:rPr>
        <w:t>3</w:t>
      </w:r>
      <w:r>
        <w:fldChar w:fldCharType="end"/>
      </w:r>
      <w:bookmarkEnd w:id="7"/>
      <w:r>
        <w:rPr>
          <w:lang w:val="en-US"/>
        </w:rPr>
        <w:t>. One issue of large TA, when gap starting time aligns with a UL slot</w:t>
      </w:r>
    </w:p>
    <w:p w14:paraId="74125410" w14:textId="77777777" w:rsidR="00F949F4" w:rsidRDefault="00F949F4" w:rsidP="00F949F4">
      <w:pPr>
        <w:pStyle w:val="af1"/>
      </w:pPr>
    </w:p>
    <w:p w14:paraId="034E7605" w14:textId="77777777" w:rsidR="00F949F4" w:rsidRPr="00F949F4" w:rsidRDefault="00F949F4" w:rsidP="00F949F4">
      <w:pPr>
        <w:pStyle w:val="af1"/>
        <w:rPr>
          <w:lang w:val="en-US"/>
        </w:rPr>
      </w:pPr>
      <w:bookmarkStart w:id="8" w:name="_Ref525844633"/>
      <w:r>
        <w:t xml:space="preserve">Proposal </w:t>
      </w:r>
      <w:r>
        <w:fldChar w:fldCharType="begin"/>
      </w:r>
      <w:r>
        <w:instrText xml:space="preserve"> SEQ Proposal \* ARABIC </w:instrText>
      </w:r>
      <w:r>
        <w:fldChar w:fldCharType="separate"/>
      </w:r>
      <w:r w:rsidR="00CE4FF9">
        <w:rPr>
          <w:noProof/>
        </w:rPr>
        <w:t>3</w:t>
      </w:r>
      <w:r>
        <w:fldChar w:fldCharType="end"/>
      </w:r>
      <w:r>
        <w:rPr>
          <w:lang w:val="en-US"/>
        </w:rPr>
        <w:t xml:space="preserve">: If </w:t>
      </w:r>
      <w:r>
        <w:rPr>
          <w:lang w:eastAsia="en-US"/>
        </w:rPr>
        <w:t>network can</w:t>
      </w:r>
      <w:r>
        <w:rPr>
          <w:lang w:val="en-US" w:eastAsia="en-US"/>
        </w:rPr>
        <w:t>not</w:t>
      </w:r>
      <w:r>
        <w:rPr>
          <w:lang w:eastAsia="en-US"/>
        </w:rPr>
        <w:t xml:space="preserve"> correctly know the absolute amount of accumulated TA</w:t>
      </w:r>
      <w:r>
        <w:rPr>
          <w:lang w:val="en-US" w:eastAsia="en-US"/>
        </w:rPr>
        <w:t xml:space="preserve"> of UE, always </w:t>
      </w:r>
      <w:r>
        <w:rPr>
          <w:lang w:eastAsia="en-US"/>
        </w:rPr>
        <w:t xml:space="preserve">assume the gap starting time aligns with </w:t>
      </w:r>
      <w:r>
        <w:rPr>
          <w:lang w:val="en-US" w:eastAsia="en-US"/>
        </w:rPr>
        <w:t>(</w:t>
      </w:r>
      <w:r>
        <w:rPr>
          <w:lang w:eastAsia="en-US"/>
        </w:rPr>
        <w:t>virtual</w:t>
      </w:r>
      <w:r>
        <w:rPr>
          <w:lang w:val="en-US" w:eastAsia="en-US"/>
        </w:rPr>
        <w:t>)</w:t>
      </w:r>
      <w:r>
        <w:rPr>
          <w:lang w:eastAsia="en-US"/>
        </w:rPr>
        <w:t xml:space="preserve"> DL slot boundary</w:t>
      </w:r>
      <w:bookmarkEnd w:id="8"/>
    </w:p>
    <w:p w14:paraId="66DFD484" w14:textId="7CC9388B" w:rsidR="00325C58" w:rsidRPr="001E24A5" w:rsidRDefault="00325C58" w:rsidP="003D2490">
      <w:pPr>
        <w:rPr>
          <w:lang w:eastAsia="en-US"/>
        </w:rPr>
      </w:pPr>
    </w:p>
    <w:p w14:paraId="4D8910C3" w14:textId="1E54DEDC" w:rsidR="00954066" w:rsidRDefault="00954066" w:rsidP="00001421">
      <w:pPr>
        <w:jc w:val="both"/>
        <w:rPr>
          <w:b/>
          <w:u w:val="single"/>
        </w:rPr>
      </w:pPr>
      <w:r w:rsidRPr="00954066">
        <w:rPr>
          <w:b/>
          <w:u w:val="single"/>
        </w:rPr>
        <w:t>SMTC duration</w:t>
      </w:r>
    </w:p>
    <w:p w14:paraId="474F5387" w14:textId="4C90D6E3" w:rsidR="00954066" w:rsidRDefault="005C4281" w:rsidP="00001421">
      <w:pPr>
        <w:jc w:val="both"/>
      </w:pPr>
      <w:r w:rsidRPr="005C4281">
        <w:t>The UE requires</w:t>
      </w:r>
      <w:r>
        <w:t xml:space="preserve"> measurement gaps to identify and measure intra-frequency cells and/or inter-frequency cells and/or inter-RAT E-UTRAN cells. </w:t>
      </w:r>
      <w:r w:rsidR="00AA102F">
        <w:rPr>
          <w:rFonts w:cs="v4.2.0"/>
        </w:rPr>
        <w:t>Typically,</w:t>
      </w:r>
      <w:r>
        <w:rPr>
          <w:rFonts w:cs="v4.2.0"/>
        </w:rPr>
        <w:t xml:space="preserve"> measurement gap </w:t>
      </w:r>
      <w:r w:rsidR="00AA102F">
        <w:rPr>
          <w:rFonts w:cs="v4.2.0"/>
        </w:rPr>
        <w:t xml:space="preserve">length (MGL) </w:t>
      </w:r>
      <w:r>
        <w:rPr>
          <w:rFonts w:cs="v4.2.0"/>
        </w:rPr>
        <w:t xml:space="preserve">should cover all SMTC </w:t>
      </w:r>
      <w:r w:rsidR="00AA102F">
        <w:rPr>
          <w:rFonts w:cs="v4.2.0"/>
        </w:rPr>
        <w:t xml:space="preserve">durations </w:t>
      </w:r>
      <w:r>
        <w:rPr>
          <w:rFonts w:cs="v4.2.0"/>
        </w:rPr>
        <w:t xml:space="preserve">on different frequency layers. </w:t>
      </w:r>
      <w:r w:rsidR="00CD3739">
        <w:t>A</w:t>
      </w:r>
      <w:r w:rsidR="00AA102F">
        <w:t xml:space="preserve">n example of </w:t>
      </w:r>
      <w:r>
        <w:t xml:space="preserve">three MOs in f1, f2 and </w:t>
      </w:r>
      <w:r w:rsidR="00AF04AC">
        <w:t xml:space="preserve">an </w:t>
      </w:r>
      <w:r>
        <w:t>inter-RAT frequency</w:t>
      </w:r>
      <w:r w:rsidR="00AA102F">
        <w:t xml:space="preserve"> is</w:t>
      </w:r>
      <w:r>
        <w:t xml:space="preserve"> shown in </w:t>
      </w:r>
      <w:r>
        <w:fldChar w:fldCharType="begin"/>
      </w:r>
      <w:r>
        <w:instrText xml:space="preserve"> REF _Ref513577048 \h </w:instrText>
      </w:r>
      <w:r>
        <w:fldChar w:fldCharType="separate"/>
      </w:r>
      <w:r w:rsidR="00F949F4">
        <w:t xml:space="preserve">Figure </w:t>
      </w:r>
      <w:r w:rsidR="00F949F4">
        <w:rPr>
          <w:noProof/>
        </w:rPr>
        <w:t>3</w:t>
      </w:r>
      <w:r>
        <w:fldChar w:fldCharType="end"/>
      </w:r>
      <w:r>
        <w:t xml:space="preserve"> below. It can be seen </w:t>
      </w:r>
      <w:r w:rsidR="00AF04AC">
        <w:t xml:space="preserve">that </w:t>
      </w:r>
      <w:r>
        <w:t xml:space="preserve">the Tmargin in f1 </w:t>
      </w:r>
      <w:r w:rsidR="00AF04AC">
        <w:t>seems</w:t>
      </w:r>
      <w:r>
        <w:t xml:space="preserve"> large so that some network companies suggest to permit </w:t>
      </w:r>
      <w:r w:rsidR="00AF04AC">
        <w:t xml:space="preserve">transmitting </w:t>
      </w:r>
      <w:r>
        <w:t>uplink signals in f0 when measuring is in f1.</w:t>
      </w:r>
    </w:p>
    <w:p w14:paraId="454084AE" w14:textId="0411C800" w:rsidR="005C4281" w:rsidRDefault="005C4281" w:rsidP="00001421">
      <w:pPr>
        <w:jc w:val="both"/>
      </w:pPr>
      <w:r>
        <w:t xml:space="preserve">But which </w:t>
      </w:r>
      <w:r w:rsidR="00AF04AC">
        <w:t xml:space="preserve">gap occasion </w:t>
      </w:r>
      <w:r>
        <w:t>to measure f1</w:t>
      </w:r>
      <w:r w:rsidR="00AF04AC">
        <w:t>,</w:t>
      </w:r>
      <w:r>
        <w:t xml:space="preserve"> f2 or inter-RAT </w:t>
      </w:r>
      <w:r w:rsidR="00AF04AC">
        <w:t>is completely up to</w:t>
      </w:r>
      <w:r>
        <w:t xml:space="preserve"> UE’s scheduling. Different UE</w:t>
      </w:r>
      <w:r w:rsidR="00AF04AC">
        <w:t>s</w:t>
      </w:r>
      <w:r>
        <w:t xml:space="preserve"> could have different scheduling</w:t>
      </w:r>
      <w:r w:rsidR="00C765EF">
        <w:t xml:space="preserve"> algorithms</w:t>
      </w:r>
      <w:r>
        <w:t xml:space="preserve">. It means that network </w:t>
      </w:r>
      <w:r w:rsidR="00AF04AC">
        <w:t>has no idea which exact gap occasion can be expected for</w:t>
      </w:r>
      <w:r>
        <w:t xml:space="preserve"> </w:t>
      </w:r>
      <w:r>
        <w:rPr>
          <w:rFonts w:cs="v4.2.0"/>
        </w:rPr>
        <w:t xml:space="preserve">the </w:t>
      </w:r>
      <w:r w:rsidR="00AF04AC">
        <w:rPr>
          <w:rFonts w:cs="v4.2.0"/>
        </w:rPr>
        <w:t xml:space="preserve">UL </w:t>
      </w:r>
      <w:r>
        <w:rPr>
          <w:rFonts w:cs="v4.2.0"/>
        </w:rPr>
        <w:t xml:space="preserve">transmission </w:t>
      </w:r>
      <w:r w:rsidR="00AF04AC">
        <w:rPr>
          <w:rFonts w:cs="v4.2.0"/>
        </w:rPr>
        <w:t>in</w:t>
      </w:r>
      <w:r>
        <w:rPr>
          <w:rFonts w:cs="v4.2.0"/>
        </w:rPr>
        <w:t xml:space="preserve"> slot</w:t>
      </w:r>
      <w:r w:rsidR="00AF04AC">
        <w:rPr>
          <w:rFonts w:cs="v4.2.0"/>
        </w:rPr>
        <w:t>s</w:t>
      </w:r>
      <w:r>
        <w:rPr>
          <w:rFonts w:cs="v4.2.0"/>
        </w:rPr>
        <w:t xml:space="preserve"> after measurement gap.</w:t>
      </w:r>
      <w:r w:rsidR="00AF04AC">
        <w:rPr>
          <w:rFonts w:cs="v4.2.0"/>
        </w:rPr>
        <w:t xml:space="preserve"> In other words, the rule to decide whether slot after measurement gap can be used for UL transmission should not depends on the SMTC durations.</w:t>
      </w:r>
      <w:r>
        <w:t xml:space="preserve">  </w:t>
      </w:r>
    </w:p>
    <w:p w14:paraId="3092A578" w14:textId="376E84A3" w:rsidR="005C4281" w:rsidRPr="006534F9" w:rsidRDefault="00CE4FF9" w:rsidP="00CE4FF9">
      <w:pPr>
        <w:pStyle w:val="af1"/>
        <w:rPr>
          <w:i/>
        </w:rPr>
      </w:pPr>
      <w:bookmarkStart w:id="9" w:name="_Ref525844635"/>
      <w:r>
        <w:t xml:space="preserve">Proposal </w:t>
      </w:r>
      <w:r w:rsidR="00D13A66">
        <w:fldChar w:fldCharType="begin"/>
      </w:r>
      <w:r w:rsidR="00D13A66">
        <w:instrText xml:space="preserve"> SEQ Proposal \* ARABIC </w:instrText>
      </w:r>
      <w:r w:rsidR="00D13A66">
        <w:fldChar w:fldCharType="separate"/>
      </w:r>
      <w:r>
        <w:rPr>
          <w:noProof/>
        </w:rPr>
        <w:t>4</w:t>
      </w:r>
      <w:r w:rsidR="00D13A66">
        <w:rPr>
          <w:noProof/>
        </w:rPr>
        <w:fldChar w:fldCharType="end"/>
      </w:r>
      <w:r>
        <w:rPr>
          <w:lang w:val="en-US"/>
        </w:rPr>
        <w:t>:</w:t>
      </w:r>
      <w:r w:rsidRPr="00CE4FF9">
        <w:rPr>
          <w:rFonts w:cs="v4.2.0"/>
          <w:i/>
          <w:lang w:val="en-US"/>
        </w:rPr>
        <w:t xml:space="preserve"> </w:t>
      </w:r>
      <w:r w:rsidRPr="001C6DCB">
        <w:rPr>
          <w:rFonts w:cs="v4.2.0"/>
          <w:i/>
          <w:lang w:val="en-US"/>
        </w:rPr>
        <w:t>T</w:t>
      </w:r>
      <w:r w:rsidRPr="001C6DCB">
        <w:rPr>
          <w:rFonts w:cs="v4.2.0"/>
          <w:i/>
        </w:rPr>
        <w:t xml:space="preserve">he rule to decide </w:t>
      </w:r>
      <w:r>
        <w:rPr>
          <w:rFonts w:cs="v4.2.0"/>
          <w:i/>
          <w:lang w:val="en-US"/>
        </w:rPr>
        <w:t>UE behavior before and after measurement can does</w:t>
      </w:r>
      <w:r w:rsidRPr="001C6DCB">
        <w:rPr>
          <w:rFonts w:cs="v4.2.0"/>
          <w:i/>
        </w:rPr>
        <w:t xml:space="preserve"> not depends on the SMTC durations</w:t>
      </w:r>
      <w:r w:rsidRPr="006534F9">
        <w:rPr>
          <w:i/>
          <w:lang w:val="en-US"/>
        </w:rPr>
        <w:t>.</w:t>
      </w:r>
      <w:bookmarkEnd w:id="9"/>
      <w:r w:rsidRPr="006534F9">
        <w:rPr>
          <w:i/>
          <w:lang w:val="en-US"/>
        </w:rPr>
        <w:t xml:space="preserve"> </w:t>
      </w:r>
      <w:r w:rsidRPr="006534F9">
        <w:rPr>
          <w:i/>
        </w:rPr>
        <w:t xml:space="preserve"> </w:t>
      </w:r>
    </w:p>
    <w:p w14:paraId="30993564" w14:textId="757D390E" w:rsidR="00C2306B" w:rsidRDefault="005C4281" w:rsidP="009931B3">
      <w:pPr>
        <w:jc w:val="center"/>
      </w:pPr>
      <w:r>
        <w:object w:dxaOrig="13351" w:dyaOrig="5236" w14:anchorId="12C4A0EA">
          <v:shape id="_x0000_i1039" type="#_x0000_t75" style="width:402pt;height:157.15pt" o:ole="">
            <v:imagedata r:id="rId34" o:title=""/>
          </v:shape>
          <o:OLEObject Type="Embed" ProgID="Visio.Drawing.15" ShapeID="_x0000_i1039" DrawAspect="Content" ObjectID="_1599676951" r:id="rId35"/>
        </w:object>
      </w:r>
    </w:p>
    <w:p w14:paraId="4EDCCD0D" w14:textId="7BBBA2DD" w:rsidR="005F08F7" w:rsidRPr="005C4281" w:rsidRDefault="005F08F7" w:rsidP="005F08F7">
      <w:pPr>
        <w:pStyle w:val="af1"/>
        <w:jc w:val="center"/>
        <w:rPr>
          <w:lang w:val="en-US"/>
        </w:rPr>
      </w:pPr>
      <w:bookmarkStart w:id="10" w:name="_Ref513577048"/>
      <w:r>
        <w:lastRenderedPageBreak/>
        <w:t xml:space="preserve">Figure </w:t>
      </w:r>
      <w:r w:rsidR="00D13A66">
        <w:fldChar w:fldCharType="begin"/>
      </w:r>
      <w:r w:rsidR="00D13A66">
        <w:instrText xml:space="preserve"> SEQ Figure \* ARABIC </w:instrText>
      </w:r>
      <w:r w:rsidR="00D13A66">
        <w:fldChar w:fldCharType="separate"/>
      </w:r>
      <w:r w:rsidR="00325C58">
        <w:rPr>
          <w:noProof/>
        </w:rPr>
        <w:t>3</w:t>
      </w:r>
      <w:r w:rsidR="00D13A66">
        <w:rPr>
          <w:noProof/>
        </w:rPr>
        <w:fldChar w:fldCharType="end"/>
      </w:r>
      <w:bookmarkEnd w:id="10"/>
      <w:r w:rsidRPr="00F700F3">
        <w:t xml:space="preserve">. </w:t>
      </w:r>
      <w:r>
        <w:t xml:space="preserve">An example of </w:t>
      </w:r>
      <w:r w:rsidR="005C4281">
        <w:rPr>
          <w:lang w:val="en-US"/>
        </w:rPr>
        <w:t>Tmargin for different frequencies in Meas. Gap</w:t>
      </w:r>
    </w:p>
    <w:p w14:paraId="60301AEF" w14:textId="77777777" w:rsidR="00BE4CCA" w:rsidRDefault="00BE4CCA" w:rsidP="00954066">
      <w:pPr>
        <w:rPr>
          <w:lang w:val="en-GB" w:eastAsia="en-US"/>
        </w:rPr>
      </w:pPr>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331AFF5E" w14:textId="163BA9E1" w:rsidR="00387A78" w:rsidRDefault="006F7557" w:rsidP="005D0BD9">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B420D5">
        <w:t xml:space="preserve">propose the </w:t>
      </w:r>
      <w:r w:rsidR="00CE4FF9">
        <w:rPr>
          <w:noProof/>
        </w:rPr>
        <w:t>gap starting point and UE behavior before and after measurement gap</w:t>
      </w:r>
      <w:r w:rsidR="00B420D5">
        <w:t>.</w:t>
      </w:r>
      <w:r w:rsidR="00CE4FF9">
        <w:t xml:space="preserve"> We have the following observations and proposals </w:t>
      </w:r>
    </w:p>
    <w:p w14:paraId="496A9D59" w14:textId="00CD59C7" w:rsidR="00CE4FF9" w:rsidRPr="00CE4FF9" w:rsidRDefault="00CE4FF9" w:rsidP="005D0BD9">
      <w:pPr>
        <w:adjustRightInd w:val="0"/>
        <w:snapToGrid w:val="0"/>
        <w:spacing w:before="180" w:after="120"/>
        <w:jc w:val="both"/>
        <w:rPr>
          <w:rFonts w:cs="v4.2.0"/>
          <w:b/>
          <w:i/>
          <w:sz w:val="20"/>
          <w:szCs w:val="20"/>
          <w:lang w:val="x-none" w:eastAsia="x-none"/>
        </w:rPr>
      </w:pPr>
      <w:r w:rsidRPr="00CE4FF9">
        <w:rPr>
          <w:rFonts w:cs="v4.2.0"/>
          <w:b/>
          <w:i/>
          <w:sz w:val="20"/>
          <w:szCs w:val="20"/>
          <w:lang w:val="x-none" w:eastAsia="x-none"/>
        </w:rPr>
        <w:fldChar w:fldCharType="begin"/>
      </w:r>
      <w:r w:rsidRPr="00CE4FF9">
        <w:rPr>
          <w:rFonts w:cs="v4.2.0"/>
          <w:b/>
          <w:i/>
          <w:sz w:val="20"/>
          <w:szCs w:val="20"/>
          <w:lang w:val="x-none" w:eastAsia="x-none"/>
        </w:rPr>
        <w:instrText xml:space="preserve"> REF _Ref525844622 \h </w:instrText>
      </w:r>
      <w:r>
        <w:rPr>
          <w:rFonts w:cs="v4.2.0"/>
          <w:b/>
          <w:i/>
          <w:sz w:val="20"/>
          <w:szCs w:val="20"/>
          <w:lang w:val="x-none" w:eastAsia="x-none"/>
        </w:rPr>
        <w:instrText xml:space="preserve"> \* MERGEFORMAT </w:instrText>
      </w:r>
      <w:r w:rsidRPr="00CE4FF9">
        <w:rPr>
          <w:rFonts w:cs="v4.2.0"/>
          <w:b/>
          <w:i/>
          <w:sz w:val="20"/>
          <w:szCs w:val="20"/>
          <w:lang w:val="x-none" w:eastAsia="x-none"/>
        </w:rPr>
      </w:r>
      <w:r w:rsidRPr="00CE4FF9">
        <w:rPr>
          <w:rFonts w:cs="v4.2.0"/>
          <w:b/>
          <w:i/>
          <w:sz w:val="20"/>
          <w:szCs w:val="20"/>
          <w:lang w:val="x-none" w:eastAsia="x-none"/>
        </w:rPr>
        <w:fldChar w:fldCharType="separate"/>
      </w:r>
      <w:r w:rsidR="005F2F39" w:rsidRPr="005F2F39">
        <w:rPr>
          <w:rFonts w:cs="v4.2.0"/>
          <w:b/>
          <w:i/>
          <w:sz w:val="20"/>
          <w:szCs w:val="20"/>
          <w:lang w:val="x-none" w:eastAsia="x-none"/>
        </w:rPr>
        <w:t>Observation 1: The maximum TA in NR could be up to 2 slots.</w:t>
      </w:r>
      <w:r w:rsidRPr="00CE4FF9">
        <w:rPr>
          <w:rFonts w:cs="v4.2.0"/>
          <w:b/>
          <w:i/>
          <w:sz w:val="20"/>
          <w:szCs w:val="20"/>
          <w:lang w:val="x-none" w:eastAsia="x-none"/>
        </w:rPr>
        <w:fldChar w:fldCharType="end"/>
      </w:r>
    </w:p>
    <w:p w14:paraId="558B90B0" w14:textId="60F9EACD" w:rsidR="00CE4FF9" w:rsidRPr="00CE4FF9" w:rsidRDefault="00CE4FF9" w:rsidP="005D0BD9">
      <w:pPr>
        <w:adjustRightInd w:val="0"/>
        <w:snapToGrid w:val="0"/>
        <w:spacing w:before="180" w:after="120"/>
        <w:jc w:val="both"/>
        <w:rPr>
          <w:rFonts w:cs="v4.2.0"/>
          <w:b/>
          <w:i/>
          <w:sz w:val="20"/>
          <w:szCs w:val="20"/>
          <w:lang w:val="x-none" w:eastAsia="x-none"/>
        </w:rPr>
      </w:pPr>
      <w:r w:rsidRPr="00CE4FF9">
        <w:rPr>
          <w:rFonts w:cs="v4.2.0"/>
          <w:b/>
          <w:i/>
          <w:sz w:val="20"/>
          <w:szCs w:val="20"/>
          <w:lang w:val="x-none" w:eastAsia="x-none"/>
        </w:rPr>
        <w:fldChar w:fldCharType="begin"/>
      </w:r>
      <w:r w:rsidRPr="00CE4FF9">
        <w:rPr>
          <w:rFonts w:cs="v4.2.0"/>
          <w:b/>
          <w:i/>
          <w:sz w:val="20"/>
          <w:szCs w:val="20"/>
          <w:lang w:val="x-none" w:eastAsia="x-none"/>
        </w:rPr>
        <w:instrText xml:space="preserve"> REF _Ref525844625 \h </w:instrText>
      </w:r>
      <w:r>
        <w:rPr>
          <w:rFonts w:cs="v4.2.0"/>
          <w:b/>
          <w:i/>
          <w:sz w:val="20"/>
          <w:szCs w:val="20"/>
          <w:lang w:val="x-none" w:eastAsia="x-none"/>
        </w:rPr>
        <w:instrText xml:space="preserve"> \* MERGEFORMAT </w:instrText>
      </w:r>
      <w:r w:rsidRPr="00CE4FF9">
        <w:rPr>
          <w:rFonts w:cs="v4.2.0"/>
          <w:b/>
          <w:i/>
          <w:sz w:val="20"/>
          <w:szCs w:val="20"/>
          <w:lang w:val="x-none" w:eastAsia="x-none"/>
        </w:rPr>
      </w:r>
      <w:r w:rsidRPr="00CE4FF9">
        <w:rPr>
          <w:rFonts w:cs="v4.2.0"/>
          <w:b/>
          <w:i/>
          <w:sz w:val="20"/>
          <w:szCs w:val="20"/>
          <w:lang w:val="x-none" w:eastAsia="x-none"/>
        </w:rPr>
        <w:fldChar w:fldCharType="separate"/>
      </w:r>
      <w:r w:rsidRPr="00CE4FF9">
        <w:rPr>
          <w:rFonts w:cs="v4.2.0"/>
          <w:b/>
          <w:i/>
          <w:sz w:val="20"/>
          <w:szCs w:val="20"/>
          <w:lang w:val="x-none" w:eastAsia="x-none"/>
        </w:rPr>
        <w:t>Observation 2: When gap starting time aligns with a DL slot, if network can correctly know the absolute amount of accumulated TA of UE, then it could be possible to set up some rule on which slots UE should or should not drop. Otherwise, network has no idea which slot UE will drop.</w:t>
      </w:r>
      <w:r w:rsidRPr="00CE4FF9">
        <w:rPr>
          <w:rFonts w:cs="v4.2.0"/>
          <w:b/>
          <w:i/>
          <w:sz w:val="20"/>
          <w:szCs w:val="20"/>
          <w:lang w:val="x-none" w:eastAsia="x-none"/>
        </w:rPr>
        <w:fldChar w:fldCharType="end"/>
      </w:r>
    </w:p>
    <w:p w14:paraId="70FD8F5B" w14:textId="6EB1AD90" w:rsidR="00CE4FF9" w:rsidRPr="00CE4FF9" w:rsidRDefault="00CE4FF9" w:rsidP="005D0BD9">
      <w:pPr>
        <w:adjustRightInd w:val="0"/>
        <w:snapToGrid w:val="0"/>
        <w:spacing w:before="180" w:after="120"/>
        <w:jc w:val="both"/>
        <w:rPr>
          <w:rFonts w:cs="v4.2.0"/>
          <w:b/>
          <w:i/>
          <w:sz w:val="20"/>
          <w:szCs w:val="20"/>
          <w:lang w:val="x-none" w:eastAsia="x-none"/>
        </w:rPr>
      </w:pPr>
      <w:r w:rsidRPr="00CE4FF9">
        <w:rPr>
          <w:rFonts w:cs="v4.2.0"/>
          <w:b/>
          <w:i/>
          <w:sz w:val="20"/>
          <w:szCs w:val="20"/>
          <w:lang w:val="x-none" w:eastAsia="x-none"/>
        </w:rPr>
        <w:fldChar w:fldCharType="begin"/>
      </w:r>
      <w:r w:rsidRPr="00CE4FF9">
        <w:rPr>
          <w:rFonts w:cs="v4.2.0"/>
          <w:b/>
          <w:i/>
          <w:sz w:val="20"/>
          <w:szCs w:val="20"/>
          <w:lang w:val="x-none" w:eastAsia="x-none"/>
        </w:rPr>
        <w:instrText xml:space="preserve"> REF _Ref525844630 \h </w:instrText>
      </w:r>
      <w:r>
        <w:rPr>
          <w:rFonts w:cs="v4.2.0"/>
          <w:b/>
          <w:i/>
          <w:sz w:val="20"/>
          <w:szCs w:val="20"/>
          <w:lang w:val="x-none" w:eastAsia="x-none"/>
        </w:rPr>
        <w:instrText xml:space="preserve"> \* MERGEFORMAT </w:instrText>
      </w:r>
      <w:r w:rsidRPr="00CE4FF9">
        <w:rPr>
          <w:rFonts w:cs="v4.2.0"/>
          <w:b/>
          <w:i/>
          <w:sz w:val="20"/>
          <w:szCs w:val="20"/>
          <w:lang w:val="x-none" w:eastAsia="x-none"/>
        </w:rPr>
      </w:r>
      <w:r w:rsidRPr="00CE4FF9">
        <w:rPr>
          <w:rFonts w:cs="v4.2.0"/>
          <w:b/>
          <w:i/>
          <w:sz w:val="20"/>
          <w:szCs w:val="20"/>
          <w:lang w:val="x-none" w:eastAsia="x-none"/>
        </w:rPr>
        <w:fldChar w:fldCharType="separate"/>
      </w:r>
      <w:r w:rsidR="00D27866" w:rsidRPr="00D27866">
        <w:rPr>
          <w:rFonts w:cs="v4.2.0"/>
          <w:b/>
          <w:i/>
          <w:sz w:val="20"/>
          <w:szCs w:val="20"/>
          <w:lang w:val="x-none" w:eastAsia="x-none"/>
        </w:rPr>
        <w:t>Proposal 1: Directly apply MGTA to the gap starting time.</w:t>
      </w:r>
      <w:r w:rsidRPr="00CE4FF9">
        <w:rPr>
          <w:rFonts w:cs="v4.2.0"/>
          <w:b/>
          <w:i/>
          <w:sz w:val="20"/>
          <w:szCs w:val="20"/>
          <w:lang w:val="x-none" w:eastAsia="x-none"/>
        </w:rPr>
        <w:fldChar w:fldCharType="end"/>
      </w:r>
    </w:p>
    <w:p w14:paraId="01006CB7" w14:textId="315C529E" w:rsidR="00CE4FF9" w:rsidRPr="00CE4FF9" w:rsidRDefault="00CE4FF9" w:rsidP="005D0BD9">
      <w:pPr>
        <w:adjustRightInd w:val="0"/>
        <w:snapToGrid w:val="0"/>
        <w:spacing w:before="180" w:after="120"/>
        <w:jc w:val="both"/>
        <w:rPr>
          <w:rFonts w:cs="v4.2.0"/>
          <w:b/>
          <w:i/>
          <w:sz w:val="20"/>
          <w:szCs w:val="20"/>
          <w:lang w:val="x-none" w:eastAsia="x-none"/>
        </w:rPr>
      </w:pPr>
      <w:r w:rsidRPr="00CE4FF9">
        <w:rPr>
          <w:rFonts w:cs="v4.2.0"/>
          <w:b/>
          <w:i/>
          <w:sz w:val="20"/>
          <w:szCs w:val="20"/>
          <w:lang w:val="x-none" w:eastAsia="x-none"/>
        </w:rPr>
        <w:fldChar w:fldCharType="begin"/>
      </w:r>
      <w:r w:rsidRPr="00CE4FF9">
        <w:rPr>
          <w:rFonts w:cs="v4.2.0"/>
          <w:b/>
          <w:i/>
          <w:sz w:val="20"/>
          <w:szCs w:val="20"/>
          <w:lang w:val="x-none" w:eastAsia="x-none"/>
        </w:rPr>
        <w:instrText xml:space="preserve"> REF _Ref525844631 \h </w:instrText>
      </w:r>
      <w:r>
        <w:rPr>
          <w:rFonts w:cs="v4.2.0"/>
          <w:b/>
          <w:i/>
          <w:sz w:val="20"/>
          <w:szCs w:val="20"/>
          <w:lang w:val="x-none" w:eastAsia="x-none"/>
        </w:rPr>
        <w:instrText xml:space="preserve"> \* MERGEFORMAT </w:instrText>
      </w:r>
      <w:r w:rsidRPr="00CE4FF9">
        <w:rPr>
          <w:rFonts w:cs="v4.2.0"/>
          <w:b/>
          <w:i/>
          <w:sz w:val="20"/>
          <w:szCs w:val="20"/>
          <w:lang w:val="x-none" w:eastAsia="x-none"/>
        </w:rPr>
      </w:r>
      <w:r w:rsidRPr="00CE4FF9">
        <w:rPr>
          <w:rFonts w:cs="v4.2.0"/>
          <w:b/>
          <w:i/>
          <w:sz w:val="20"/>
          <w:szCs w:val="20"/>
          <w:lang w:val="x-none" w:eastAsia="x-none"/>
        </w:rPr>
        <w:fldChar w:fldCharType="separate"/>
      </w:r>
      <w:r w:rsidRPr="00CE4FF9">
        <w:rPr>
          <w:rFonts w:cs="v4.2.0"/>
          <w:b/>
          <w:i/>
          <w:sz w:val="20"/>
          <w:szCs w:val="20"/>
          <w:lang w:val="x-none" w:eastAsia="x-none"/>
        </w:rPr>
        <w:t>Proposal 2: RAN4 to study if network can correctly know the absolute amount of accumulated TA of UE.</w:t>
      </w:r>
      <w:r w:rsidRPr="00CE4FF9">
        <w:rPr>
          <w:rFonts w:cs="v4.2.0"/>
          <w:b/>
          <w:i/>
          <w:sz w:val="20"/>
          <w:szCs w:val="20"/>
          <w:lang w:val="x-none" w:eastAsia="x-none"/>
        </w:rPr>
        <w:fldChar w:fldCharType="end"/>
      </w:r>
    </w:p>
    <w:p w14:paraId="185BCF9B" w14:textId="3DDA410E" w:rsidR="00CE4FF9" w:rsidRPr="00CE4FF9" w:rsidRDefault="00CE4FF9" w:rsidP="005D0BD9">
      <w:pPr>
        <w:adjustRightInd w:val="0"/>
        <w:snapToGrid w:val="0"/>
        <w:spacing w:before="180" w:after="120"/>
        <w:jc w:val="both"/>
        <w:rPr>
          <w:rFonts w:cs="v4.2.0"/>
          <w:b/>
          <w:i/>
          <w:sz w:val="20"/>
          <w:szCs w:val="20"/>
          <w:lang w:val="x-none" w:eastAsia="x-none"/>
        </w:rPr>
      </w:pPr>
      <w:r w:rsidRPr="00CE4FF9">
        <w:rPr>
          <w:rFonts w:cs="v4.2.0"/>
          <w:b/>
          <w:i/>
          <w:sz w:val="20"/>
          <w:szCs w:val="20"/>
          <w:lang w:val="x-none" w:eastAsia="x-none"/>
        </w:rPr>
        <w:fldChar w:fldCharType="begin"/>
      </w:r>
      <w:r w:rsidRPr="00CE4FF9">
        <w:rPr>
          <w:rFonts w:cs="v4.2.0"/>
          <w:b/>
          <w:i/>
          <w:sz w:val="20"/>
          <w:szCs w:val="20"/>
          <w:lang w:val="x-none" w:eastAsia="x-none"/>
        </w:rPr>
        <w:instrText xml:space="preserve"> REF _Ref525844633 \h </w:instrText>
      </w:r>
      <w:r>
        <w:rPr>
          <w:rFonts w:cs="v4.2.0"/>
          <w:b/>
          <w:i/>
          <w:sz w:val="20"/>
          <w:szCs w:val="20"/>
          <w:lang w:val="x-none" w:eastAsia="x-none"/>
        </w:rPr>
        <w:instrText xml:space="preserve"> \* MERGEFORMAT </w:instrText>
      </w:r>
      <w:r w:rsidRPr="00CE4FF9">
        <w:rPr>
          <w:rFonts w:cs="v4.2.0"/>
          <w:b/>
          <w:i/>
          <w:sz w:val="20"/>
          <w:szCs w:val="20"/>
          <w:lang w:val="x-none" w:eastAsia="x-none"/>
        </w:rPr>
      </w:r>
      <w:r w:rsidRPr="00CE4FF9">
        <w:rPr>
          <w:rFonts w:cs="v4.2.0"/>
          <w:b/>
          <w:i/>
          <w:sz w:val="20"/>
          <w:szCs w:val="20"/>
          <w:lang w:val="x-none" w:eastAsia="x-none"/>
        </w:rPr>
        <w:fldChar w:fldCharType="separate"/>
      </w:r>
      <w:r w:rsidRPr="00CE4FF9">
        <w:rPr>
          <w:rFonts w:cs="v4.2.0"/>
          <w:b/>
          <w:i/>
          <w:sz w:val="20"/>
          <w:szCs w:val="20"/>
          <w:lang w:val="x-none" w:eastAsia="x-none"/>
        </w:rPr>
        <w:t>Proposal 3: If network cannot correctly know the absolute amount of accumulated TA of UE, always assume the gap starting time aligns with (virtual) DL slot boundary</w:t>
      </w:r>
      <w:r w:rsidRPr="00CE4FF9">
        <w:rPr>
          <w:rFonts w:cs="v4.2.0"/>
          <w:b/>
          <w:i/>
          <w:sz w:val="20"/>
          <w:szCs w:val="20"/>
          <w:lang w:val="x-none" w:eastAsia="x-none"/>
        </w:rPr>
        <w:fldChar w:fldCharType="end"/>
      </w:r>
    </w:p>
    <w:p w14:paraId="15FC20B0" w14:textId="6561D367" w:rsidR="00CE4FF9" w:rsidRDefault="00CE4FF9" w:rsidP="005D0BD9">
      <w:pPr>
        <w:adjustRightInd w:val="0"/>
        <w:snapToGrid w:val="0"/>
        <w:spacing w:before="180" w:after="120"/>
        <w:jc w:val="both"/>
      </w:pPr>
      <w:r w:rsidRPr="00CE4FF9">
        <w:rPr>
          <w:rFonts w:cs="v4.2.0"/>
          <w:b/>
          <w:i/>
          <w:sz w:val="20"/>
          <w:szCs w:val="20"/>
          <w:lang w:val="x-none" w:eastAsia="x-none"/>
        </w:rPr>
        <w:fldChar w:fldCharType="begin"/>
      </w:r>
      <w:r w:rsidRPr="00CE4FF9">
        <w:rPr>
          <w:rFonts w:cs="v4.2.0"/>
          <w:b/>
          <w:i/>
          <w:sz w:val="20"/>
          <w:szCs w:val="20"/>
          <w:lang w:val="x-none" w:eastAsia="x-none"/>
        </w:rPr>
        <w:instrText xml:space="preserve"> REF _Ref525844635 \h </w:instrText>
      </w:r>
      <w:r>
        <w:rPr>
          <w:rFonts w:cs="v4.2.0"/>
          <w:b/>
          <w:i/>
          <w:sz w:val="20"/>
          <w:szCs w:val="20"/>
          <w:lang w:val="x-none" w:eastAsia="x-none"/>
        </w:rPr>
        <w:instrText xml:space="preserve"> \* MERGEFORMAT </w:instrText>
      </w:r>
      <w:r w:rsidRPr="00CE4FF9">
        <w:rPr>
          <w:rFonts w:cs="v4.2.0"/>
          <w:b/>
          <w:i/>
          <w:sz w:val="20"/>
          <w:szCs w:val="20"/>
          <w:lang w:val="x-none" w:eastAsia="x-none"/>
        </w:rPr>
      </w:r>
      <w:r w:rsidRPr="00CE4FF9">
        <w:rPr>
          <w:rFonts w:cs="v4.2.0"/>
          <w:b/>
          <w:i/>
          <w:sz w:val="20"/>
          <w:szCs w:val="20"/>
          <w:lang w:val="x-none" w:eastAsia="x-none"/>
        </w:rPr>
        <w:fldChar w:fldCharType="separate"/>
      </w:r>
      <w:r w:rsidRPr="00CE4FF9">
        <w:rPr>
          <w:rFonts w:cs="v4.2.0"/>
          <w:b/>
          <w:i/>
          <w:sz w:val="20"/>
          <w:szCs w:val="20"/>
          <w:lang w:val="x-none" w:eastAsia="x-none"/>
        </w:rPr>
        <w:t>Proposal 4: The rule to decide UE behavior before and after measurement can does not depends on the SMTC durations.</w:t>
      </w:r>
      <w:r w:rsidRPr="00CE4FF9">
        <w:rPr>
          <w:rFonts w:cs="v4.2.0"/>
          <w:b/>
          <w:i/>
          <w:sz w:val="20"/>
          <w:szCs w:val="20"/>
          <w:lang w:val="x-none" w:eastAsia="x-none"/>
        </w:rPr>
        <w:fldChar w:fldCharType="end"/>
      </w:r>
    </w:p>
    <w:p w14:paraId="00085F61" w14:textId="77777777" w:rsidR="000F20AC" w:rsidRPr="000C45FD" w:rsidRDefault="000F20AC" w:rsidP="001D3830">
      <w:pPr>
        <w:pStyle w:val="1"/>
        <w:numPr>
          <w:ilvl w:val="0"/>
          <w:numId w:val="2"/>
        </w:numPr>
        <w:rPr>
          <w:rFonts w:ascii="Calibri" w:hAnsi="Calibri"/>
        </w:rPr>
      </w:pPr>
      <w:r w:rsidRPr="000C45FD">
        <w:rPr>
          <w:rFonts w:ascii="Calibri" w:hAnsi="Calibri"/>
        </w:rPr>
        <w:t>References</w:t>
      </w:r>
    </w:p>
    <w:p w14:paraId="584CEC3C" w14:textId="0E4F1232" w:rsidR="00F53223" w:rsidRPr="00EF05DD" w:rsidRDefault="00F53223" w:rsidP="00325C58">
      <w:pPr>
        <w:numPr>
          <w:ilvl w:val="0"/>
          <w:numId w:val="1"/>
        </w:numPr>
        <w:rPr>
          <w:iCs/>
          <w:lang w:val="en-GB"/>
        </w:rPr>
      </w:pPr>
      <w:bookmarkStart w:id="11" w:name="_Ref510193169"/>
      <w:bookmarkStart w:id="12" w:name="_Ref509850443"/>
      <w:bookmarkStart w:id="13" w:name="_Ref446505138"/>
      <w:r w:rsidRPr="00F53223">
        <w:rPr>
          <w:iCs/>
          <w:lang w:val="en-GB"/>
        </w:rPr>
        <w:t>R4-18</w:t>
      </w:r>
      <w:r w:rsidR="00954066">
        <w:rPr>
          <w:iCs/>
          <w:lang w:val="en-GB"/>
        </w:rPr>
        <w:t>11869</w:t>
      </w:r>
      <w:r w:rsidR="00EF05DD">
        <w:rPr>
          <w:iCs/>
          <w:lang w:val="en-GB"/>
        </w:rPr>
        <w:t>, “</w:t>
      </w:r>
      <w:r w:rsidR="00954066" w:rsidRPr="00954066">
        <w:rPr>
          <w:iCs/>
        </w:rPr>
        <w:t>Way forward on UE behavior before or after measurement gap</w:t>
      </w:r>
      <w:r>
        <w:rPr>
          <w:iCs/>
        </w:rPr>
        <w:t xml:space="preserve">’’, </w:t>
      </w:r>
      <w:r w:rsidR="00954066">
        <w:rPr>
          <w:iCs/>
        </w:rPr>
        <w:t>ZTE</w:t>
      </w:r>
      <w:r>
        <w:rPr>
          <w:iCs/>
        </w:rPr>
        <w:t xml:space="preserve"> </w:t>
      </w:r>
    </w:p>
    <w:p w14:paraId="1251822F" w14:textId="5271F32B" w:rsidR="00EF05DD" w:rsidRPr="00F53223" w:rsidRDefault="00EF05DD" w:rsidP="00EF05DD">
      <w:pPr>
        <w:numPr>
          <w:ilvl w:val="0"/>
          <w:numId w:val="1"/>
        </w:numPr>
        <w:rPr>
          <w:iCs/>
          <w:lang w:val="en-GB"/>
        </w:rPr>
      </w:pPr>
      <w:bookmarkStart w:id="14" w:name="_Ref525819386"/>
      <w:r w:rsidRPr="00EF05DD">
        <w:rPr>
          <w:iCs/>
          <w:lang w:val="en-GB"/>
        </w:rPr>
        <w:t>R4-1811405</w:t>
      </w:r>
      <w:r>
        <w:rPr>
          <w:iCs/>
          <w:lang w:val="en-GB"/>
        </w:rPr>
        <w:t>, “</w:t>
      </w:r>
      <w:r w:rsidRPr="0065136D">
        <w:rPr>
          <w:noProof/>
        </w:rPr>
        <w:t>CR on starting point to execute the measurement gap</w:t>
      </w:r>
      <w:r>
        <w:rPr>
          <w:iCs/>
          <w:lang w:val="en-GB"/>
        </w:rPr>
        <w:t>”, Intel</w:t>
      </w:r>
      <w:bookmarkEnd w:id="14"/>
    </w:p>
    <w:bookmarkEnd w:id="11"/>
    <w:bookmarkEnd w:id="12"/>
    <w:bookmarkEnd w:id="13"/>
    <w:p w14:paraId="3613CDAD" w14:textId="77777777" w:rsidR="004D05A7" w:rsidRPr="006F7557" w:rsidRDefault="004D05A7" w:rsidP="00EF05DD">
      <w:pPr>
        <w:rPr>
          <w:highlight w:val="yellow"/>
        </w:rPr>
      </w:pPr>
    </w:p>
    <w:sectPr w:rsidR="004D05A7" w:rsidRPr="006F755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458CDD" w14:textId="77777777" w:rsidR="009B7260" w:rsidRDefault="009B7260">
      <w:r>
        <w:separator/>
      </w:r>
    </w:p>
  </w:endnote>
  <w:endnote w:type="continuationSeparator" w:id="0">
    <w:p w14:paraId="1E51CCF1" w14:textId="77777777" w:rsidR="009B7260" w:rsidRDefault="009B7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83E8EF" w14:textId="77777777" w:rsidR="009B7260" w:rsidRDefault="009B7260">
      <w:r>
        <w:separator/>
      </w:r>
    </w:p>
  </w:footnote>
  <w:footnote w:type="continuationSeparator" w:id="0">
    <w:p w14:paraId="43D03025" w14:textId="77777777" w:rsidR="009B7260" w:rsidRDefault="009B72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6"/>
  </w:num>
  <w:num w:numId="3">
    <w:abstractNumId w:val="8"/>
  </w:num>
  <w:num w:numId="4">
    <w:abstractNumId w:val="11"/>
  </w:num>
  <w:num w:numId="5">
    <w:abstractNumId w:val="12"/>
  </w:num>
  <w:num w:numId="6">
    <w:abstractNumId w:val="3"/>
  </w:num>
  <w:num w:numId="7">
    <w:abstractNumId w:val="7"/>
  </w:num>
  <w:num w:numId="8">
    <w:abstractNumId w:val="14"/>
  </w:num>
  <w:num w:numId="9">
    <w:abstractNumId w:val="5"/>
  </w:num>
  <w:num w:numId="10">
    <w:abstractNumId w:val="0"/>
  </w:num>
  <w:num w:numId="11">
    <w:abstractNumId w:val="6"/>
  </w:num>
  <w:num w:numId="12">
    <w:abstractNumId w:val="10"/>
  </w:num>
  <w:num w:numId="13">
    <w:abstractNumId w:val="1"/>
  </w:num>
  <w:num w:numId="14">
    <w:abstractNumId w:val="18"/>
  </w:num>
  <w:num w:numId="15">
    <w:abstractNumId w:val="4"/>
  </w:num>
  <w:num w:numId="16">
    <w:abstractNumId w:val="2"/>
  </w:num>
  <w:num w:numId="17">
    <w:abstractNumId w:val="13"/>
  </w:num>
  <w:num w:numId="18">
    <w:abstractNumId w:val="17"/>
  </w:num>
  <w:num w:numId="19">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58B6"/>
    <w:rsid w:val="00025CAB"/>
    <w:rsid w:val="0002622D"/>
    <w:rsid w:val="00026819"/>
    <w:rsid w:val="0002728F"/>
    <w:rsid w:val="00027CD8"/>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B0"/>
    <w:rsid w:val="00053BE5"/>
    <w:rsid w:val="00054850"/>
    <w:rsid w:val="00054D7E"/>
    <w:rsid w:val="00055006"/>
    <w:rsid w:val="000559F7"/>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72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706C"/>
    <w:rsid w:val="000E7AFA"/>
    <w:rsid w:val="000F0786"/>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969"/>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E91"/>
    <w:rsid w:val="001216D3"/>
    <w:rsid w:val="00121BA2"/>
    <w:rsid w:val="00121E5E"/>
    <w:rsid w:val="0012222B"/>
    <w:rsid w:val="001224A0"/>
    <w:rsid w:val="001228AF"/>
    <w:rsid w:val="00123511"/>
    <w:rsid w:val="00123768"/>
    <w:rsid w:val="00123E28"/>
    <w:rsid w:val="001246B3"/>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3447"/>
    <w:rsid w:val="0014376F"/>
    <w:rsid w:val="001438A9"/>
    <w:rsid w:val="00143BEF"/>
    <w:rsid w:val="00143EE1"/>
    <w:rsid w:val="001451B1"/>
    <w:rsid w:val="00145DC2"/>
    <w:rsid w:val="0014619B"/>
    <w:rsid w:val="0014667F"/>
    <w:rsid w:val="00146E8E"/>
    <w:rsid w:val="00147269"/>
    <w:rsid w:val="0014747E"/>
    <w:rsid w:val="001501F9"/>
    <w:rsid w:val="00150222"/>
    <w:rsid w:val="0015087F"/>
    <w:rsid w:val="00151039"/>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B02"/>
    <w:rsid w:val="00161F56"/>
    <w:rsid w:val="00162028"/>
    <w:rsid w:val="001624A5"/>
    <w:rsid w:val="00162FAF"/>
    <w:rsid w:val="00163203"/>
    <w:rsid w:val="00163235"/>
    <w:rsid w:val="00163717"/>
    <w:rsid w:val="00164048"/>
    <w:rsid w:val="001640AB"/>
    <w:rsid w:val="001643C8"/>
    <w:rsid w:val="00164998"/>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01"/>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830"/>
    <w:rsid w:val="001D3864"/>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D7C85"/>
    <w:rsid w:val="001E0189"/>
    <w:rsid w:val="001E05E3"/>
    <w:rsid w:val="001E0735"/>
    <w:rsid w:val="001E0B40"/>
    <w:rsid w:val="001E12E8"/>
    <w:rsid w:val="001E1CF2"/>
    <w:rsid w:val="001E24A5"/>
    <w:rsid w:val="001E2B47"/>
    <w:rsid w:val="001E2BD4"/>
    <w:rsid w:val="001E2C4C"/>
    <w:rsid w:val="001E48F4"/>
    <w:rsid w:val="001E59BA"/>
    <w:rsid w:val="001E59E0"/>
    <w:rsid w:val="001E5A9F"/>
    <w:rsid w:val="001E677B"/>
    <w:rsid w:val="001E6CF5"/>
    <w:rsid w:val="001E7244"/>
    <w:rsid w:val="001E729E"/>
    <w:rsid w:val="001E766E"/>
    <w:rsid w:val="001E799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C3"/>
    <w:rsid w:val="001F7601"/>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69C4"/>
    <w:rsid w:val="00207064"/>
    <w:rsid w:val="00207CC5"/>
    <w:rsid w:val="00207D20"/>
    <w:rsid w:val="00207ED9"/>
    <w:rsid w:val="002104D2"/>
    <w:rsid w:val="00210691"/>
    <w:rsid w:val="00210967"/>
    <w:rsid w:val="002113D4"/>
    <w:rsid w:val="002120D2"/>
    <w:rsid w:val="00212D47"/>
    <w:rsid w:val="00212DAD"/>
    <w:rsid w:val="0021369D"/>
    <w:rsid w:val="002140D6"/>
    <w:rsid w:val="002141D8"/>
    <w:rsid w:val="00214711"/>
    <w:rsid w:val="002149AF"/>
    <w:rsid w:val="00214E33"/>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D29"/>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6E7"/>
    <w:rsid w:val="002907BA"/>
    <w:rsid w:val="002910EE"/>
    <w:rsid w:val="0029170E"/>
    <w:rsid w:val="00291EC7"/>
    <w:rsid w:val="002927DE"/>
    <w:rsid w:val="00292908"/>
    <w:rsid w:val="00292B5F"/>
    <w:rsid w:val="00293688"/>
    <w:rsid w:val="00294B67"/>
    <w:rsid w:val="00294E8F"/>
    <w:rsid w:val="00296DC9"/>
    <w:rsid w:val="00297370"/>
    <w:rsid w:val="00297BFB"/>
    <w:rsid w:val="00297CDF"/>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4E2"/>
    <w:rsid w:val="002A6A9E"/>
    <w:rsid w:val="002A6F00"/>
    <w:rsid w:val="002A7275"/>
    <w:rsid w:val="002A73F2"/>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BA4"/>
    <w:rsid w:val="00310144"/>
    <w:rsid w:val="0031033E"/>
    <w:rsid w:val="0031149A"/>
    <w:rsid w:val="00311689"/>
    <w:rsid w:val="003116E8"/>
    <w:rsid w:val="00311AC6"/>
    <w:rsid w:val="00311C3D"/>
    <w:rsid w:val="00311CEC"/>
    <w:rsid w:val="00312198"/>
    <w:rsid w:val="0031252F"/>
    <w:rsid w:val="0031324F"/>
    <w:rsid w:val="00313269"/>
    <w:rsid w:val="00313A9A"/>
    <w:rsid w:val="00313CB0"/>
    <w:rsid w:val="00313F96"/>
    <w:rsid w:val="00314D5F"/>
    <w:rsid w:val="00314E50"/>
    <w:rsid w:val="00314E6B"/>
    <w:rsid w:val="00314F76"/>
    <w:rsid w:val="003159C3"/>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903"/>
    <w:rsid w:val="00331C6A"/>
    <w:rsid w:val="00332709"/>
    <w:rsid w:val="00333319"/>
    <w:rsid w:val="00333E46"/>
    <w:rsid w:val="003344CA"/>
    <w:rsid w:val="0033464F"/>
    <w:rsid w:val="00334AA0"/>
    <w:rsid w:val="00334C64"/>
    <w:rsid w:val="00334FCF"/>
    <w:rsid w:val="003350C7"/>
    <w:rsid w:val="00335473"/>
    <w:rsid w:val="00335F0B"/>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2BF6"/>
    <w:rsid w:val="00383AF2"/>
    <w:rsid w:val="00384091"/>
    <w:rsid w:val="00384126"/>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333"/>
    <w:rsid w:val="00397F8E"/>
    <w:rsid w:val="00397FE0"/>
    <w:rsid w:val="003A052A"/>
    <w:rsid w:val="003A082E"/>
    <w:rsid w:val="003A0997"/>
    <w:rsid w:val="003A123F"/>
    <w:rsid w:val="003A1678"/>
    <w:rsid w:val="003A169E"/>
    <w:rsid w:val="003A1882"/>
    <w:rsid w:val="003A1FF4"/>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9A6"/>
    <w:rsid w:val="003B4975"/>
    <w:rsid w:val="003B4E39"/>
    <w:rsid w:val="003B4F7B"/>
    <w:rsid w:val="003B50D7"/>
    <w:rsid w:val="003B5375"/>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6825"/>
    <w:rsid w:val="003D69EB"/>
    <w:rsid w:val="003D6BC6"/>
    <w:rsid w:val="003D780C"/>
    <w:rsid w:val="003D7EDC"/>
    <w:rsid w:val="003E051E"/>
    <w:rsid w:val="003E08CC"/>
    <w:rsid w:val="003E0C15"/>
    <w:rsid w:val="003E0D12"/>
    <w:rsid w:val="003E172E"/>
    <w:rsid w:val="003E21A7"/>
    <w:rsid w:val="003E2734"/>
    <w:rsid w:val="003E32E1"/>
    <w:rsid w:val="003E3655"/>
    <w:rsid w:val="003E3963"/>
    <w:rsid w:val="003E4083"/>
    <w:rsid w:val="003E4570"/>
    <w:rsid w:val="003E4FE6"/>
    <w:rsid w:val="003E52D4"/>
    <w:rsid w:val="003E5F5C"/>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6E4"/>
    <w:rsid w:val="00413B98"/>
    <w:rsid w:val="00413D12"/>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4E36"/>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2DF"/>
    <w:rsid w:val="00474A34"/>
    <w:rsid w:val="00474EA8"/>
    <w:rsid w:val="00475329"/>
    <w:rsid w:val="00475688"/>
    <w:rsid w:val="00475F8F"/>
    <w:rsid w:val="00476198"/>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E6D"/>
    <w:rsid w:val="00485BAB"/>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25D"/>
    <w:rsid w:val="004D044A"/>
    <w:rsid w:val="004D05A7"/>
    <w:rsid w:val="004D0607"/>
    <w:rsid w:val="004D0BA3"/>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64EC"/>
    <w:rsid w:val="004F72FD"/>
    <w:rsid w:val="004F76E2"/>
    <w:rsid w:val="004F7890"/>
    <w:rsid w:val="00500815"/>
    <w:rsid w:val="00501B1E"/>
    <w:rsid w:val="00502410"/>
    <w:rsid w:val="00503196"/>
    <w:rsid w:val="005032CB"/>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C5"/>
    <w:rsid w:val="0052545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407"/>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AEE"/>
    <w:rsid w:val="00550B00"/>
    <w:rsid w:val="00550D9E"/>
    <w:rsid w:val="00550DB6"/>
    <w:rsid w:val="00551213"/>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BDC"/>
    <w:rsid w:val="00577C07"/>
    <w:rsid w:val="00577E2B"/>
    <w:rsid w:val="00580536"/>
    <w:rsid w:val="00580926"/>
    <w:rsid w:val="0058128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281"/>
    <w:rsid w:val="005C4450"/>
    <w:rsid w:val="005C502F"/>
    <w:rsid w:val="005C5A64"/>
    <w:rsid w:val="005C5ED7"/>
    <w:rsid w:val="005C5F96"/>
    <w:rsid w:val="005C61A7"/>
    <w:rsid w:val="005C6A95"/>
    <w:rsid w:val="005C6E40"/>
    <w:rsid w:val="005C748C"/>
    <w:rsid w:val="005D0100"/>
    <w:rsid w:val="005D05E3"/>
    <w:rsid w:val="005D0890"/>
    <w:rsid w:val="005D0BD9"/>
    <w:rsid w:val="005D100E"/>
    <w:rsid w:val="005D10BA"/>
    <w:rsid w:val="005D144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B9A"/>
    <w:rsid w:val="00613237"/>
    <w:rsid w:val="006132CD"/>
    <w:rsid w:val="00613363"/>
    <w:rsid w:val="0061406C"/>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5002A"/>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17A3"/>
    <w:rsid w:val="006719FE"/>
    <w:rsid w:val="00671C7D"/>
    <w:rsid w:val="00672309"/>
    <w:rsid w:val="00673312"/>
    <w:rsid w:val="00673767"/>
    <w:rsid w:val="00673EB0"/>
    <w:rsid w:val="0067450A"/>
    <w:rsid w:val="006747A8"/>
    <w:rsid w:val="006747E1"/>
    <w:rsid w:val="00674895"/>
    <w:rsid w:val="00674D88"/>
    <w:rsid w:val="00675544"/>
    <w:rsid w:val="00675840"/>
    <w:rsid w:val="0067584C"/>
    <w:rsid w:val="00675D57"/>
    <w:rsid w:val="00675E39"/>
    <w:rsid w:val="00675E56"/>
    <w:rsid w:val="006764F7"/>
    <w:rsid w:val="00676527"/>
    <w:rsid w:val="00676BDC"/>
    <w:rsid w:val="00676E96"/>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3BC9"/>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2810"/>
    <w:rsid w:val="00733392"/>
    <w:rsid w:val="007340AC"/>
    <w:rsid w:val="0073413F"/>
    <w:rsid w:val="00735A2C"/>
    <w:rsid w:val="007363C3"/>
    <w:rsid w:val="007365E3"/>
    <w:rsid w:val="00737667"/>
    <w:rsid w:val="00737DB0"/>
    <w:rsid w:val="00737EE8"/>
    <w:rsid w:val="007407E7"/>
    <w:rsid w:val="00740B1F"/>
    <w:rsid w:val="00740BB2"/>
    <w:rsid w:val="00740C6C"/>
    <w:rsid w:val="00740D3C"/>
    <w:rsid w:val="007410F3"/>
    <w:rsid w:val="00741127"/>
    <w:rsid w:val="00741C21"/>
    <w:rsid w:val="00741CC4"/>
    <w:rsid w:val="00741D42"/>
    <w:rsid w:val="0074224C"/>
    <w:rsid w:val="0074227A"/>
    <w:rsid w:val="00743083"/>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9FE"/>
    <w:rsid w:val="00756CFC"/>
    <w:rsid w:val="00757001"/>
    <w:rsid w:val="0075721B"/>
    <w:rsid w:val="00757E62"/>
    <w:rsid w:val="007600E5"/>
    <w:rsid w:val="007605C4"/>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FDB"/>
    <w:rsid w:val="007A7FF4"/>
    <w:rsid w:val="007B0496"/>
    <w:rsid w:val="007B0776"/>
    <w:rsid w:val="007B0F99"/>
    <w:rsid w:val="007B18C4"/>
    <w:rsid w:val="007B2844"/>
    <w:rsid w:val="007B308F"/>
    <w:rsid w:val="007B3345"/>
    <w:rsid w:val="007B33E8"/>
    <w:rsid w:val="007B352F"/>
    <w:rsid w:val="007B36B7"/>
    <w:rsid w:val="007B3799"/>
    <w:rsid w:val="007B3936"/>
    <w:rsid w:val="007B39FF"/>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87"/>
    <w:rsid w:val="007D3A69"/>
    <w:rsid w:val="007D3B6C"/>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F0715"/>
    <w:rsid w:val="007F08BC"/>
    <w:rsid w:val="007F0B07"/>
    <w:rsid w:val="007F1727"/>
    <w:rsid w:val="007F1937"/>
    <w:rsid w:val="007F1AA9"/>
    <w:rsid w:val="007F1C35"/>
    <w:rsid w:val="007F1E34"/>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51D"/>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49BD"/>
    <w:rsid w:val="00814A98"/>
    <w:rsid w:val="00815692"/>
    <w:rsid w:val="00815A93"/>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9A3"/>
    <w:rsid w:val="00830E3C"/>
    <w:rsid w:val="0083199F"/>
    <w:rsid w:val="00831F29"/>
    <w:rsid w:val="0083250A"/>
    <w:rsid w:val="0083286B"/>
    <w:rsid w:val="008333F2"/>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07D4"/>
    <w:rsid w:val="00851AB3"/>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80C1F"/>
    <w:rsid w:val="008815D1"/>
    <w:rsid w:val="0088190E"/>
    <w:rsid w:val="00881920"/>
    <w:rsid w:val="00881A9A"/>
    <w:rsid w:val="00881C68"/>
    <w:rsid w:val="008823AA"/>
    <w:rsid w:val="00882419"/>
    <w:rsid w:val="00882911"/>
    <w:rsid w:val="00882EC6"/>
    <w:rsid w:val="00883F87"/>
    <w:rsid w:val="0088427B"/>
    <w:rsid w:val="00884A01"/>
    <w:rsid w:val="00884B2B"/>
    <w:rsid w:val="0088525C"/>
    <w:rsid w:val="0088530F"/>
    <w:rsid w:val="00885DFA"/>
    <w:rsid w:val="0088613E"/>
    <w:rsid w:val="00886210"/>
    <w:rsid w:val="008866D7"/>
    <w:rsid w:val="008868BC"/>
    <w:rsid w:val="008869C6"/>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6920"/>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27B"/>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84F"/>
    <w:rsid w:val="0091294E"/>
    <w:rsid w:val="00912D6F"/>
    <w:rsid w:val="009132E6"/>
    <w:rsid w:val="00913834"/>
    <w:rsid w:val="0091441D"/>
    <w:rsid w:val="00914594"/>
    <w:rsid w:val="00914C32"/>
    <w:rsid w:val="0091519C"/>
    <w:rsid w:val="009152E9"/>
    <w:rsid w:val="00915AB7"/>
    <w:rsid w:val="00915B81"/>
    <w:rsid w:val="00915E48"/>
    <w:rsid w:val="00916157"/>
    <w:rsid w:val="0091704E"/>
    <w:rsid w:val="009175A3"/>
    <w:rsid w:val="009178AE"/>
    <w:rsid w:val="00917C15"/>
    <w:rsid w:val="00920223"/>
    <w:rsid w:val="009206A4"/>
    <w:rsid w:val="009211DD"/>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87"/>
    <w:rsid w:val="009738D1"/>
    <w:rsid w:val="00974DC5"/>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B7260"/>
    <w:rsid w:val="009C0054"/>
    <w:rsid w:val="009C02E7"/>
    <w:rsid w:val="009C0E50"/>
    <w:rsid w:val="009C0E84"/>
    <w:rsid w:val="009C1262"/>
    <w:rsid w:val="009C14AC"/>
    <w:rsid w:val="009C1BFC"/>
    <w:rsid w:val="009C1E8C"/>
    <w:rsid w:val="009C213E"/>
    <w:rsid w:val="009C2D5D"/>
    <w:rsid w:val="009C2DD2"/>
    <w:rsid w:val="009C357D"/>
    <w:rsid w:val="009C38DD"/>
    <w:rsid w:val="009C3AD7"/>
    <w:rsid w:val="009C3BD9"/>
    <w:rsid w:val="009C3D52"/>
    <w:rsid w:val="009C46E7"/>
    <w:rsid w:val="009C4EB2"/>
    <w:rsid w:val="009C51D5"/>
    <w:rsid w:val="009C56FA"/>
    <w:rsid w:val="009C57B6"/>
    <w:rsid w:val="009C5B86"/>
    <w:rsid w:val="009C6173"/>
    <w:rsid w:val="009C6B52"/>
    <w:rsid w:val="009C7119"/>
    <w:rsid w:val="009C760A"/>
    <w:rsid w:val="009D0004"/>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444"/>
    <w:rsid w:val="009E4C48"/>
    <w:rsid w:val="009E5589"/>
    <w:rsid w:val="009E5AF5"/>
    <w:rsid w:val="009E5CBA"/>
    <w:rsid w:val="009E627D"/>
    <w:rsid w:val="009E6EEE"/>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729F"/>
    <w:rsid w:val="00A17410"/>
    <w:rsid w:val="00A2024B"/>
    <w:rsid w:val="00A20D44"/>
    <w:rsid w:val="00A2186C"/>
    <w:rsid w:val="00A21C59"/>
    <w:rsid w:val="00A22CD3"/>
    <w:rsid w:val="00A22DFE"/>
    <w:rsid w:val="00A23174"/>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68"/>
    <w:rsid w:val="00A36D01"/>
    <w:rsid w:val="00A36D87"/>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7D2"/>
    <w:rsid w:val="00A65AE8"/>
    <w:rsid w:val="00A65CD4"/>
    <w:rsid w:val="00A662EC"/>
    <w:rsid w:val="00A66510"/>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E6"/>
    <w:rsid w:val="00AC2D1B"/>
    <w:rsid w:val="00AC2F36"/>
    <w:rsid w:val="00AC376A"/>
    <w:rsid w:val="00AC3803"/>
    <w:rsid w:val="00AC3D37"/>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0569"/>
    <w:rsid w:val="00AE2227"/>
    <w:rsid w:val="00AE29C9"/>
    <w:rsid w:val="00AE2A3B"/>
    <w:rsid w:val="00AE2B4E"/>
    <w:rsid w:val="00AE2E23"/>
    <w:rsid w:val="00AE2E7D"/>
    <w:rsid w:val="00AE3BDD"/>
    <w:rsid w:val="00AE3F89"/>
    <w:rsid w:val="00AE4244"/>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DF5"/>
    <w:rsid w:val="00B12F00"/>
    <w:rsid w:val="00B13CF8"/>
    <w:rsid w:val="00B14F9D"/>
    <w:rsid w:val="00B1513F"/>
    <w:rsid w:val="00B15201"/>
    <w:rsid w:val="00B157F6"/>
    <w:rsid w:val="00B158B2"/>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7B69"/>
    <w:rsid w:val="00B3000E"/>
    <w:rsid w:val="00B304F9"/>
    <w:rsid w:val="00B30738"/>
    <w:rsid w:val="00B30BE3"/>
    <w:rsid w:val="00B313CD"/>
    <w:rsid w:val="00B31B31"/>
    <w:rsid w:val="00B31C46"/>
    <w:rsid w:val="00B31EE1"/>
    <w:rsid w:val="00B31FBE"/>
    <w:rsid w:val="00B32677"/>
    <w:rsid w:val="00B34B83"/>
    <w:rsid w:val="00B34D47"/>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3347"/>
    <w:rsid w:val="00B435DA"/>
    <w:rsid w:val="00B43E31"/>
    <w:rsid w:val="00B43F99"/>
    <w:rsid w:val="00B443A3"/>
    <w:rsid w:val="00B449A9"/>
    <w:rsid w:val="00B44A60"/>
    <w:rsid w:val="00B44FEF"/>
    <w:rsid w:val="00B4501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521"/>
    <w:rsid w:val="00B7267A"/>
    <w:rsid w:val="00B72F96"/>
    <w:rsid w:val="00B73176"/>
    <w:rsid w:val="00B73286"/>
    <w:rsid w:val="00B73AA5"/>
    <w:rsid w:val="00B73B8A"/>
    <w:rsid w:val="00B74751"/>
    <w:rsid w:val="00B75E12"/>
    <w:rsid w:val="00B760F4"/>
    <w:rsid w:val="00B764A7"/>
    <w:rsid w:val="00B765C6"/>
    <w:rsid w:val="00B76C45"/>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2066"/>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401B"/>
    <w:rsid w:val="00BC5111"/>
    <w:rsid w:val="00BC5AA7"/>
    <w:rsid w:val="00BC613B"/>
    <w:rsid w:val="00BC655E"/>
    <w:rsid w:val="00BC6642"/>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C6B"/>
    <w:rsid w:val="00BF00E1"/>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200B"/>
    <w:rsid w:val="00C123F8"/>
    <w:rsid w:val="00C12A26"/>
    <w:rsid w:val="00C12D40"/>
    <w:rsid w:val="00C12E10"/>
    <w:rsid w:val="00C12EBA"/>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06B"/>
    <w:rsid w:val="00C23D53"/>
    <w:rsid w:val="00C23E31"/>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EA6"/>
    <w:rsid w:val="00C40733"/>
    <w:rsid w:val="00C408D7"/>
    <w:rsid w:val="00C40A25"/>
    <w:rsid w:val="00C40B42"/>
    <w:rsid w:val="00C41B25"/>
    <w:rsid w:val="00C41C6D"/>
    <w:rsid w:val="00C41EA0"/>
    <w:rsid w:val="00C41F77"/>
    <w:rsid w:val="00C42032"/>
    <w:rsid w:val="00C42AE8"/>
    <w:rsid w:val="00C42B20"/>
    <w:rsid w:val="00C43875"/>
    <w:rsid w:val="00C43FF0"/>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26B"/>
    <w:rsid w:val="00C572FB"/>
    <w:rsid w:val="00C5758D"/>
    <w:rsid w:val="00C57805"/>
    <w:rsid w:val="00C60425"/>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20B"/>
    <w:rsid w:val="00C7336E"/>
    <w:rsid w:val="00C73A32"/>
    <w:rsid w:val="00C73C4F"/>
    <w:rsid w:val="00C743B0"/>
    <w:rsid w:val="00C743B1"/>
    <w:rsid w:val="00C7449E"/>
    <w:rsid w:val="00C7488B"/>
    <w:rsid w:val="00C749A2"/>
    <w:rsid w:val="00C74B87"/>
    <w:rsid w:val="00C74E4F"/>
    <w:rsid w:val="00C75844"/>
    <w:rsid w:val="00C75949"/>
    <w:rsid w:val="00C765EF"/>
    <w:rsid w:val="00C76E32"/>
    <w:rsid w:val="00C7701D"/>
    <w:rsid w:val="00C77675"/>
    <w:rsid w:val="00C778EA"/>
    <w:rsid w:val="00C77C25"/>
    <w:rsid w:val="00C77EA1"/>
    <w:rsid w:val="00C8069B"/>
    <w:rsid w:val="00C80C7A"/>
    <w:rsid w:val="00C80E46"/>
    <w:rsid w:val="00C81246"/>
    <w:rsid w:val="00C816B6"/>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1AD"/>
    <w:rsid w:val="00CC06F4"/>
    <w:rsid w:val="00CC0B75"/>
    <w:rsid w:val="00CC19A9"/>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21A"/>
    <w:rsid w:val="00D105DB"/>
    <w:rsid w:val="00D10919"/>
    <w:rsid w:val="00D110AE"/>
    <w:rsid w:val="00D11359"/>
    <w:rsid w:val="00D11641"/>
    <w:rsid w:val="00D11E76"/>
    <w:rsid w:val="00D11FC2"/>
    <w:rsid w:val="00D12557"/>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219D"/>
    <w:rsid w:val="00D32E50"/>
    <w:rsid w:val="00D32EDB"/>
    <w:rsid w:val="00D33189"/>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6C80"/>
    <w:rsid w:val="00D67582"/>
    <w:rsid w:val="00D6778F"/>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4EE"/>
    <w:rsid w:val="00DD7832"/>
    <w:rsid w:val="00DD7FEF"/>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978"/>
    <w:rsid w:val="00DE5C38"/>
    <w:rsid w:val="00DE640B"/>
    <w:rsid w:val="00DE6DA4"/>
    <w:rsid w:val="00DE7B44"/>
    <w:rsid w:val="00DE7BE6"/>
    <w:rsid w:val="00DE7E37"/>
    <w:rsid w:val="00DE7E98"/>
    <w:rsid w:val="00DE7F7A"/>
    <w:rsid w:val="00DF0186"/>
    <w:rsid w:val="00DF032F"/>
    <w:rsid w:val="00DF0AC6"/>
    <w:rsid w:val="00DF0F31"/>
    <w:rsid w:val="00DF146E"/>
    <w:rsid w:val="00DF15B6"/>
    <w:rsid w:val="00DF3DD5"/>
    <w:rsid w:val="00DF42F3"/>
    <w:rsid w:val="00DF574A"/>
    <w:rsid w:val="00DF63EF"/>
    <w:rsid w:val="00DF70DF"/>
    <w:rsid w:val="00DF7649"/>
    <w:rsid w:val="00DF76D5"/>
    <w:rsid w:val="00DF782F"/>
    <w:rsid w:val="00E00405"/>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6E"/>
    <w:rsid w:val="00E60EE5"/>
    <w:rsid w:val="00E60FD6"/>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3D41"/>
    <w:rsid w:val="00E83F53"/>
    <w:rsid w:val="00E840B2"/>
    <w:rsid w:val="00E85201"/>
    <w:rsid w:val="00E85307"/>
    <w:rsid w:val="00E85C2C"/>
    <w:rsid w:val="00E85D04"/>
    <w:rsid w:val="00E861C8"/>
    <w:rsid w:val="00E8659C"/>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F9E"/>
    <w:rsid w:val="00EB79BE"/>
    <w:rsid w:val="00EB7E44"/>
    <w:rsid w:val="00EC0153"/>
    <w:rsid w:val="00EC0496"/>
    <w:rsid w:val="00EC06BB"/>
    <w:rsid w:val="00EC0BE6"/>
    <w:rsid w:val="00EC146F"/>
    <w:rsid w:val="00EC16A8"/>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C3"/>
    <w:rsid w:val="00EF25CA"/>
    <w:rsid w:val="00EF272B"/>
    <w:rsid w:val="00EF3325"/>
    <w:rsid w:val="00EF3390"/>
    <w:rsid w:val="00EF3499"/>
    <w:rsid w:val="00EF47C7"/>
    <w:rsid w:val="00EF4858"/>
    <w:rsid w:val="00EF5A32"/>
    <w:rsid w:val="00EF5B80"/>
    <w:rsid w:val="00EF6954"/>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B4"/>
    <w:rsid w:val="00F15F33"/>
    <w:rsid w:val="00F1672E"/>
    <w:rsid w:val="00F16BAF"/>
    <w:rsid w:val="00F16D27"/>
    <w:rsid w:val="00F17876"/>
    <w:rsid w:val="00F179C6"/>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F4"/>
    <w:rsid w:val="00F962BA"/>
    <w:rsid w:val="00F965F2"/>
    <w:rsid w:val="00F96A69"/>
    <w:rsid w:val="00F971DA"/>
    <w:rsid w:val="00F97611"/>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7CC5"/>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1C7CC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1C7CC5"/>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CaptionTable"/>
    <w:basedOn w:val="a"/>
    <w:next w:val="a"/>
    <w:link w:val="af2"/>
    <w:qFormat/>
    <w:rsid w:val="00DB3A47"/>
    <w:pPr>
      <w:spacing w:before="120" w:after="120"/>
    </w:pPr>
    <w:rPr>
      <w:b/>
      <w:sz w:val="20"/>
      <w:szCs w:val="20"/>
      <w:lang w:val="x-none" w:eastAsia="x-none"/>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w:basedOn w:val="a"/>
    <w:link w:val="af6"/>
    <w:uiPriority w:val="34"/>
    <w:qFormat/>
    <w:rsid w:val="007C2235"/>
    <w:pPr>
      <w:ind w:left="720"/>
      <w:contextualSpacing/>
    </w:pPr>
    <w:rPr>
      <w:lang w:eastAsia="en-US"/>
    </w:rPr>
  </w:style>
  <w:style w:type="table" w:styleId="af7">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8.wmf"/><Relationship Id="rId33" Type="http://schemas.openxmlformats.org/officeDocument/2006/relationships/image" Target="media/image12.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10.bin"/><Relationship Id="rId32" Type="http://schemas.openxmlformats.org/officeDocument/2006/relationships/image" Target="media/image11.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image" Target="media/image9.wmf"/><Relationship Id="rId36"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package" Target="embeddings/Microsoft_Visio_Drawing1111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379A2-3B72-4489-8001-FBA470A20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1346</Words>
  <Characters>7677</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2018-08-06T03:11:00Z</dcterms:created>
  <dcterms:modified xsi:type="dcterms:W3CDTF">2018-09-28T13:55:00Z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